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БАГАНСКОГО РАЙОНА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( пятьдесят вторая сессия)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от   25 апреля 2014 г.                                                                                                     № 277</w:t>
      </w: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Об экспертном заключении по годовому отчету об исполнении бюджета Лозовского сельсовета за 2013 год.</w:t>
      </w: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       Заслушав информацию главного бухгалтера</w:t>
      </w:r>
      <w:r w:rsidRPr="00451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Муниципального казенного учреждения « Управление бухгалтерского учета и административно-хозяйственного обеспечения Лозовского сельсовета Матченко Т.В. об экспертном заключении по годовому отчету об исполнении бюджета Лозовского сельсовета за 2013 год, Совет депутатов </w:t>
      </w: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РЕШИЛ:</w:t>
      </w:r>
    </w:p>
    <w:p w:rsidR="00451192" w:rsidRPr="00451192" w:rsidRDefault="00451192" w:rsidP="004511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Информацию принять к сведению (прилагается).</w:t>
      </w:r>
    </w:p>
    <w:p w:rsidR="00451192" w:rsidRPr="00451192" w:rsidRDefault="00451192" w:rsidP="00451192">
      <w:pPr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сессии опубликовать в</w:t>
      </w: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</w:t>
      </w: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 А.А. Баранчиков </w:t>
      </w: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451192" w:rsidRPr="00451192" w:rsidRDefault="00451192" w:rsidP="0045119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26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lastRenderedPageBreak/>
        <w:t>Экспертное заключение Ревизионной комиссии Баганского района по отчету Администрации Лозовского сельсовета Баганского района об исполнении бюд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 xml:space="preserve">жета за 2013 год подготовлено в соответствии с Бюджетным кодексом РФ (БК РФ), Положением «О бюджетном устройстве и бюджетном процессе в </w:t>
      </w:r>
      <w:proofErr w:type="spellStart"/>
      <w:r w:rsidRPr="00451192">
        <w:rPr>
          <w:rFonts w:ascii="Arial" w:hAnsi="Arial" w:cs="Arial"/>
          <w:spacing w:val="4"/>
          <w:sz w:val="20"/>
          <w:szCs w:val="20"/>
        </w:rPr>
        <w:t>Баганском</w:t>
      </w:r>
      <w:proofErr w:type="spellEnd"/>
      <w:r w:rsidRPr="00451192">
        <w:rPr>
          <w:rFonts w:ascii="Arial" w:hAnsi="Arial" w:cs="Arial"/>
          <w:spacing w:val="4"/>
          <w:sz w:val="20"/>
          <w:szCs w:val="20"/>
        </w:rPr>
        <w:t xml:space="preserve"> районе» и «О ревизионной комиссии Баганского района Новосибирской об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ласти», иным действующим законодательством.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17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Отчет об исполнении бюджета Лозовского сельсовета Баганского района Новосибирской области за 2013 год с пояснительной запиской и дополнительны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 xml:space="preserve">ми материалами поступил в срок, установленный ст. 5 4 Положения «О бюджетном устройстве и бюджетном процессе в </w:t>
      </w:r>
      <w:proofErr w:type="spellStart"/>
      <w:r w:rsidRPr="00451192">
        <w:rPr>
          <w:rFonts w:ascii="Arial" w:hAnsi="Arial" w:cs="Arial"/>
          <w:spacing w:val="4"/>
          <w:sz w:val="20"/>
          <w:szCs w:val="20"/>
        </w:rPr>
        <w:t>Баганском</w:t>
      </w:r>
      <w:proofErr w:type="spellEnd"/>
      <w:r w:rsidRPr="00451192">
        <w:rPr>
          <w:rFonts w:ascii="Arial" w:hAnsi="Arial" w:cs="Arial"/>
          <w:spacing w:val="4"/>
          <w:sz w:val="20"/>
          <w:szCs w:val="20"/>
        </w:rPr>
        <w:t xml:space="preserve"> районе».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296" w:line="317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Документы и материалы, представляемые одновременно с отчетом об ис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полнении местного бюджета представлены полностью.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304" w:line="322" w:lineRule="exact"/>
        <w:ind w:left="200" w:right="4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bCs/>
          <w:spacing w:val="7"/>
          <w:sz w:val="20"/>
          <w:szCs w:val="20"/>
          <w:shd w:val="clear" w:color="auto" w:fill="FFFFFF"/>
        </w:rPr>
        <w:t>Цель внешней проверки:</w:t>
      </w:r>
      <w:r w:rsidRPr="00451192">
        <w:rPr>
          <w:rFonts w:ascii="Arial" w:hAnsi="Arial" w:cs="Arial"/>
          <w:spacing w:val="4"/>
          <w:sz w:val="20"/>
          <w:szCs w:val="20"/>
        </w:rPr>
        <w:t xml:space="preserve"> проверка соблюдения участниками бюджетного про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цесса требований бюджетного законодательства, оценка результативности и эф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фективности мер по социально-экономическому развитию, увеличению доходов и оптимизации расходов бюджета.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17" w:lineRule="exact"/>
        <w:ind w:left="200"/>
        <w:outlineLvl w:val="0"/>
        <w:rPr>
          <w:rFonts w:ascii="Arial" w:hAnsi="Arial" w:cs="Arial"/>
          <w:spacing w:val="7"/>
          <w:sz w:val="20"/>
          <w:szCs w:val="20"/>
        </w:rPr>
      </w:pPr>
      <w:bookmarkStart w:id="0" w:name="bookmark3"/>
      <w:r w:rsidRPr="00451192">
        <w:rPr>
          <w:rFonts w:ascii="Arial" w:hAnsi="Arial" w:cs="Arial"/>
          <w:spacing w:val="7"/>
          <w:sz w:val="20"/>
          <w:szCs w:val="20"/>
        </w:rPr>
        <w:t>, Содержание заключения:</w:t>
      </w:r>
      <w:bookmarkEnd w:id="0"/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50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Общие сведения о муниципальном образовании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83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Организация и осуществление бюджетного процесса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Правовое регулирование и участники бюджетного процесса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5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Составление проекта и содержание решения о бюджете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5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Формирование бюджетной отчетности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74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Исполнение бюджета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5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Расходы бюджета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5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Доходы и источники финансирования дефицита бюджета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5"/>
          <w:sz w:val="20"/>
          <w:szCs w:val="20"/>
        </w:rPr>
      </w:pPr>
      <w:r w:rsidRPr="00451192">
        <w:rPr>
          <w:rFonts w:ascii="Arial" w:hAnsi="Arial" w:cs="Arial"/>
          <w:spacing w:val="5"/>
          <w:sz w:val="20"/>
          <w:szCs w:val="20"/>
        </w:rPr>
        <w:t>РЕВИЗИОННАЯ КОМИССИЯ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5"/>
          <w:sz w:val="20"/>
          <w:szCs w:val="20"/>
        </w:rPr>
      </w:pPr>
      <w:r w:rsidRPr="00451192">
        <w:rPr>
          <w:rFonts w:ascii="Arial" w:hAnsi="Arial" w:cs="Arial"/>
          <w:spacing w:val="5"/>
          <w:sz w:val="20"/>
          <w:szCs w:val="20"/>
        </w:rPr>
        <w:t>БАГАНСКОГО РАЙОНА НОВОСИБИРСКОЙ ОБЛАСТИ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 xml:space="preserve">Новосибирская область, 632770 с Баган, ул. М. Горького, 21 тел.: (38353)21-543 </w:t>
      </w:r>
      <w:r w:rsidRPr="00451192">
        <w:rPr>
          <w:rFonts w:ascii="Arial" w:hAnsi="Arial" w:cs="Arial"/>
          <w:spacing w:val="4"/>
          <w:sz w:val="20"/>
          <w:szCs w:val="20"/>
          <w:lang w:val="en-US"/>
        </w:rPr>
        <w:t>E</w:t>
      </w:r>
      <w:r w:rsidRPr="00451192">
        <w:rPr>
          <w:rFonts w:ascii="Arial" w:hAnsi="Arial" w:cs="Arial"/>
          <w:spacing w:val="4"/>
          <w:sz w:val="20"/>
          <w:szCs w:val="20"/>
        </w:rPr>
        <w:t>-</w:t>
      </w:r>
      <w:r w:rsidRPr="00451192">
        <w:rPr>
          <w:rFonts w:ascii="Arial" w:hAnsi="Arial" w:cs="Arial"/>
          <w:spacing w:val="4"/>
          <w:sz w:val="20"/>
          <w:szCs w:val="20"/>
          <w:lang w:val="en-US"/>
        </w:rPr>
        <w:t>mail</w:t>
      </w:r>
      <w:r w:rsidRPr="00451192">
        <w:rPr>
          <w:rFonts w:ascii="Arial" w:hAnsi="Arial" w:cs="Arial"/>
          <w:spacing w:val="4"/>
          <w:sz w:val="20"/>
          <w:szCs w:val="20"/>
        </w:rPr>
        <w:t xml:space="preserve">: </w:t>
      </w:r>
      <w:hyperlink r:id="rId8" w:history="1"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rvk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_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bagan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mail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51192">
        <w:rPr>
          <w:rFonts w:ascii="Arial" w:hAnsi="Arial" w:cs="Arial"/>
          <w:spacing w:val="4"/>
          <w:sz w:val="20"/>
          <w:szCs w:val="20"/>
        </w:rPr>
        <w:t xml:space="preserve"> ОКПО 04035320 ОГРН 1045480001885 ИНН 5417104650 КПП 541701001</w:t>
      </w:r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0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1" w:name="bookmark0"/>
      <w:r w:rsidRPr="00451192">
        <w:rPr>
          <w:rFonts w:ascii="Arial" w:hAnsi="Arial" w:cs="Arial"/>
          <w:spacing w:val="7"/>
          <w:sz w:val="20"/>
          <w:szCs w:val="20"/>
        </w:rPr>
        <w:t>ЗАКЛЮЧЕНИЕ</w:t>
      </w:r>
      <w:bookmarkEnd w:id="1"/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0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2" w:name="bookmark1"/>
      <w:r w:rsidRPr="00451192">
        <w:rPr>
          <w:rFonts w:ascii="Arial" w:hAnsi="Arial" w:cs="Arial"/>
          <w:spacing w:val="7"/>
          <w:sz w:val="20"/>
          <w:szCs w:val="20"/>
        </w:rPr>
        <w:t>Результатам внешней проверки годового отчета об исполнении бюджета</w:t>
      </w:r>
      <w:r w:rsidRPr="00451192">
        <w:rPr>
          <w:rFonts w:ascii="Arial" w:hAnsi="Arial" w:cs="Arial"/>
          <w:spacing w:val="7"/>
          <w:sz w:val="20"/>
          <w:szCs w:val="20"/>
        </w:rPr>
        <w:br/>
        <w:t>Администрации Лозовского сельского совета Баганского района</w:t>
      </w:r>
      <w:bookmarkEnd w:id="2"/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354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3" w:name="bookmark2"/>
      <w:r w:rsidRPr="00451192">
        <w:rPr>
          <w:rFonts w:ascii="Arial" w:hAnsi="Arial" w:cs="Arial"/>
          <w:spacing w:val="7"/>
          <w:sz w:val="20"/>
          <w:szCs w:val="20"/>
        </w:rPr>
        <w:t>за 2013 год</w:t>
      </w:r>
      <w:bookmarkEnd w:id="3"/>
    </w:p>
    <w:p w:rsidR="00451192" w:rsidRPr="00451192" w:rsidRDefault="00451192" w:rsidP="00451192">
      <w:pPr>
        <w:framePr w:w="10166" w:h="1954" w:hRule="exact" w:wrap="auto" w:vAnchor="page" w:hAnchor="page" w:x="1508" w:y="4477"/>
        <w:tabs>
          <w:tab w:val="left" w:pos="8412"/>
        </w:tabs>
        <w:spacing w:after="0" w:line="250" w:lineRule="exact"/>
        <w:ind w:left="200" w:right="307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04.04.2014г</w:t>
      </w:r>
      <w:r w:rsidRPr="00451192">
        <w:rPr>
          <w:rFonts w:ascii="Arial" w:hAnsi="Arial" w:cs="Arial"/>
          <w:spacing w:val="4"/>
          <w:sz w:val="20"/>
          <w:szCs w:val="20"/>
        </w:rPr>
        <w:tab/>
        <w:t>№ 8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 w:rsidSect="002476C1">
          <w:headerReference w:type="default" r:id="rId9"/>
          <w:pgSz w:w="11905" w:h="16837"/>
          <w:pgMar w:top="899" w:right="505" w:bottom="221" w:left="1200" w:header="0" w:footer="6" w:gutter="0"/>
          <w:cols w:space="720"/>
        </w:sectPr>
      </w:pP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657" w:line="250" w:lineRule="exact"/>
        <w:ind w:left="20" w:right="14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>3.3. Предоставление субсидий из местного бюджета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242" w:line="250" w:lineRule="exact"/>
        <w:ind w:left="242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4" w:name="bookmark4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1.Общие сведения о муниципальном образовании</w:t>
      </w:r>
      <w:bookmarkEnd w:id="4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31" w:lineRule="exact"/>
        <w:ind w:left="20" w:right="592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ОГРН1025406226780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ОКПО 04202155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31" w:lineRule="exact"/>
        <w:ind w:left="20" w:right="14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ИНН/КПП 5417100198/541701001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22" w:lineRule="exact"/>
        <w:ind w:left="20" w:right="252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Глава администрации Баранчиков Анатолий Александрович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Главный бухгалтер Матченко Татьяна Владимировна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300" w:line="31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Адрес:632774 с.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Лозовское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Баганского района, Новосибирской области, ул. Це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тральная, 1а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594" w:line="31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Площадь Лозовского сельсовета составляет 49,6 тыс. га, численность населения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1719ел, основная отрасль экономики - сельское хозяйство. По данному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показат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лю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наблюдается незначительный рост. Возможности развития экономики связаны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только с сельским хозяйством, в частности с животноводством.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Основные показатели, характеризующие социально-экономическое положение,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представлено в приложении № 1.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312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5" w:name="bookmark5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2. Организация и осуществление бюджетного процесса</w:t>
      </w:r>
      <w:bookmarkEnd w:id="5"/>
    </w:p>
    <w:p w:rsidR="00451192" w:rsidRPr="00451192" w:rsidRDefault="00451192" w:rsidP="00451192">
      <w:pPr>
        <w:framePr w:w="9974" w:h="14283" w:hRule="exact" w:wrap="auto" w:vAnchor="page" w:hAnchor="page" w:x="1648" w:y="866"/>
        <w:numPr>
          <w:ilvl w:val="2"/>
          <w:numId w:val="2"/>
        </w:numPr>
        <w:tabs>
          <w:tab w:val="left" w:pos="510"/>
        </w:tabs>
        <w:spacing w:after="249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6" w:name="bookmark6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Правовое регулирование бюджетного процесса</w:t>
      </w:r>
      <w:bookmarkEnd w:id="6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17" w:lineRule="exact"/>
        <w:ind w:left="20" w:right="220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ходе внешней проверки установлено, что необходимые для осуществления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бюджетного процесса муниципальные правовые акты Совета депутатов и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адм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нистрации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приняты не в полном составе (утверждение форм регистров бюджет-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ного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учета и правил их ведения, порядок утверждения и доведения предельных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объемов оплаты денежных обязательств и др.)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17" w:lineRule="exact"/>
        <w:ind w:left="20" w:right="220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администрации отсутствует подразделение, осуществляющее функции ф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нансового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органа. Функции финансового органа выполняет бухгалтер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админис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рации Матченко Татьяна Владимировна. Администрация выполняет функции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главного распорядителя бюджетных средств. В 2013году полномочия по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осущес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влению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внешнего муниципального финансового контроля переданы 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ревизион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комиссию Баганского района. Экспертиза проекта бюджета на 2013 год пр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ведена.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288" w:line="90" w:lineRule="exact"/>
        <w:ind w:left="8960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$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numPr>
          <w:ilvl w:val="2"/>
          <w:numId w:val="2"/>
        </w:numPr>
        <w:tabs>
          <w:tab w:val="left" w:pos="510"/>
        </w:tabs>
        <w:spacing w:after="266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7" w:name="bookmark7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Составление проекта и содержание решения о бюджете</w:t>
      </w:r>
      <w:bookmarkEnd w:id="7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0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При составлении проектов о бюджете на 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 на плановый период 2014-2015г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были подготовлены документы, предусмотренные </w:t>
      </w:r>
      <w:proofErr w:type="spellStart"/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172 БК РФ (прогноз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соци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ально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-экономического развития, основные направления бюджетной и налоговой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политики). Однако прогноз социально-экономического развития был одобрен 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ветом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депутатов в' момент принятия решения о бюджете, при этом в соответствии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2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со </w:t>
      </w:r>
      <w:proofErr w:type="spellStart"/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173 БК прогноз одобряется администрацией одновременно с принятием ре-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шения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 внесении проекта в представительный орган.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2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При внесении в бюджет изменений утверждаются изменения основных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параме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ров бюджета в текстовой части решения о бюджете (доходов, расходов, дефицита)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и новых редакций изменяемых приложений.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650" w:line="312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Реестр расходных обязательств ведется, но ведется с нарушением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законодательс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ва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Отсутствуют реквизиты муниципальных правовых актов, установивших ра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ходные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обязательства, указаны только решение о местном бюджете, которые не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являются правовым основанием для конкретных расходных обязательств.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263" w:line="250" w:lineRule="exact"/>
        <w:ind w:left="60" w:right="91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8" w:name="bookmark8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2.3. Формирование бюджетной отчетности</w:t>
      </w:r>
      <w:bookmarkEnd w:id="8"/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ходе внешней проверки недостоверности данных о фактическом размере д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ходов, расходов и источников финансирования дефицита бюджета в годовом от-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чете об исполнении бюджета за 2013год не установлено.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Не представлена в формах отчетность главных администраторов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поступл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, являющихся органами власти другого уровня (отсутствуют данные о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задол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женности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по местным налогам). В соответствии с п. 274 Инструкции по бюдже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ной отчетности федеральные и областные государственные органы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предоставля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ют отчетность в согласованные сроки.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Учет сумм доходов от использования имущества,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поступаемых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в виде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арендной платы отражаются в отчетности в сумме их кассовых поступлений на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единый счет бюджета, учет доходов и задолженности плательщиков не ведется.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Такой метод учета доходов следует отразить в пояснительной записке, а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неучте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дебиторскую задолженность - поставить на учет.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Данные Реестра имущества расходятся с данными годовой бухгалтерской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отчетности форма 0503168. Необходимо утвердить Порядок ведения реестра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ниципальной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собственности в соответствии с приказом Минэкономразвития РФ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от 30.08.2011г№ 424.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Сведения по дебиторской и кредиторской задолженности (ф. 0503169) 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приложение не содержит информации о причинах возникновения.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Текстовая часть пояснительной записки не содержит информацию,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характ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ризующую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результаты деятельности субъекта бюджетной деятельности. В поя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нительной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записке должен быть указан перечень форм отчетности, по которым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нет числовых значений, и они не заполняются. Указанный порядок изложен в п.8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Инструкции по бюджетной отчетности № 136.</w:t>
      </w:r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307" w:line="250" w:lineRule="exact"/>
        <w:ind w:left="348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9" w:name="bookmark9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 Исполнение бюджета</w:t>
      </w:r>
      <w:bookmarkEnd w:id="9"/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283" w:line="250" w:lineRule="exact"/>
        <w:ind w:left="60" w:right="158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0" w:name="bookmark10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3.1. Расходы бюджета</w:t>
      </w:r>
      <w:bookmarkEnd w:id="10"/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0" w:line="298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Информация </w:t>
      </w:r>
      <w:r w:rsidRPr="00451192">
        <w:rPr>
          <w:rFonts w:ascii="Arial" w:eastAsia="Times New Roman" w:hAnsi="Arial" w:cs="Arial"/>
          <w:spacing w:val="-19"/>
          <w:sz w:val="20"/>
          <w:szCs w:val="20"/>
          <w:lang w:eastAsia="ru-RU"/>
        </w:rPr>
        <w:t>о.,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расходах местного бюджета в 2013г. представлена 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прил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жении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2.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>Расходы местного бюджета исполнены в объеме 28801,4тыс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84,7% к плану. К уровню прошлого года расходы составили 242,2%.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01 «Общегосударственные вопросы»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расходы исполнены в объеме 3525,2тыс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 Удельный вес раздела в расходах бюджета составил 12,2%. Наибольший удельный вес в структуре расходов по разделу составили подразде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лы заработная плата (58,3%), начисления на оплату труда (19,4%).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 проверке начисления заработной платы установлены нарушения.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нарушение Постановления Администрации Новосибирской области № 206-па от 28.12.2007г «О нормативах формирования расходов на оплату труда лиц, замещающих муниципальные должности, действующих на постоянной осно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ве, муниципальных служащих и содержание органов местного самоуправления в Новосибирской области» расходы на оплату труда значительно больше, чем пре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дусмотрено в методике определения нормативов расходов на оплату труда пункт 2.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Так в соответствии с данной методикой в годовой фонд оплаты труда включены премии за выполнение особо важных и сложных заданий в размере 2-ух должно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стных окладов, а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Лозовском сельском совете, при отсутствии экономии по фонду оплаты труда, премии выплачивались регулярно, каждому из работников администрации. Размер премии устанавливался главой сельсовета лично. Так же производились дополнительные выплаты к отпуску.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«Положении об оплате труда в органах местного самоуправления Лозов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ского сельсовета», утвержденного решением двадцать шестой сессии Совета 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путатов Лозовского сельсовета четвертого созыва № 156 от 28.09.2012г, с учетом изменений внесенных решением тридцать второй сессии № 184 от 28.01.2013года предусмотрены стимулирующие выплаты (п. 3.3. подпункт 6) в размере 2-ух и бо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лее должностных окладов в год, со ссылкой (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.З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изменений от 28.01.2013г) на экономию расходов по оплате труда.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результате нарушения Постановления администрации Новосибирской об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ласти от 28.12.2007 № 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ния в Новосибирской области» с учетом изменений, превышение расходов на оп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лату труда за счет выплаты премий, без отсутствия на то оснований, составил 434464рубля 74 коп.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Составлен акт проверки № 1 от 24.03.2014г. Материалы проверки переданы в прокуратуру.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110" w:lineRule="exact"/>
        <w:ind w:left="8980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«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315" w:line="250" w:lineRule="exact"/>
        <w:ind w:left="60" w:firstLine="580"/>
        <w:jc w:val="both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Из Резервного фонда</w:t>
      </w:r>
      <w:r w:rsidRPr="00451192">
        <w:rPr>
          <w:rFonts w:ascii="Arial" w:eastAsia="Times New Roman" w:hAnsi="Arial" w:cs="Arial"/>
          <w:bCs/>
          <w:spacing w:val="4"/>
          <w:sz w:val="20"/>
          <w:szCs w:val="20"/>
          <w:lang w:eastAsia="ru-RU"/>
        </w:rPr>
        <w:t xml:space="preserve"> выплат не было.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312" w:line="326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02 «Национальная оборона»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69,1тыс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100% к плану. К уровню 2011года расходы снижены на 3,1% или 2,2тыс. рублей.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1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03 «Национальная безопасность и правоохранительная дея</w:t>
      </w: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softHyphen/>
        <w:t>тельность»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96,1тыс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100% к плану. В данном разделе отраже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ны расходы по защите населения и территории от чрезвычайных ситуаций.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0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04 «Национальная экономика»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4980,1 тыс. рублей или 96,8% к плану. По данному разделу отражены расходы по ДЦП «Развитие ав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томобильных дорог в Новосибирской области на 2012-2014 годы» в сумме 4947,5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05 «Жилищно-коммунальное хозяйство»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12553,5тыс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72,7% к плану. К уровню прошлого 2012года расходы увели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чены на 8771,7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 В общей структуре расходов расходы на жилищн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коммунальное хозяйство занимают 43,6%. Расходы увеличены в результате мо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дернизации тепловых сетей в селе Лозовском.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6" w:lineRule="exact"/>
        <w:ind w:left="40" w:right="40" w:firstLine="10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подраздел 05 02 «Коммунальное хозяйство»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расходы составили 11535,2тыс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 - 71,9% к плановым назначениям на год. Расходы на модерни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зацию тепловых сетей 8196,6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6" w:lineRule="exact"/>
        <w:ind w:lef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Предоставление субсидий 1954,5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4" w:line="322" w:lineRule="exact"/>
        <w:ind w:left="40" w:right="40" w:firstLine="10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подраздел 05 03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«Благоустройство» исполнен в сумме 1018,3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на 83,2% к плановым назначениям.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296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08 «Культура, кинематография»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6008,9тыс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98,2% к расходам. К уровню прошлого года расходы возросли на 31,1% или 1425,8тыс. рублей. Основная доля расходов приходится на заработную плату и начисления на выплаты по оплате труда 58,4%.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10 «Социальная политика»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212,7тыс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92,2% к расходам. Рост расходов по сравнению с 2012годом составил 110,5%. В данном разделе отражены расходы по выплате доплат к пенсиям муниципальных служа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щих.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237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Расходы по разделу 11 «Физическая культура и спорт»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1355,6тыс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98,5% к расходам бюджета.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15" w:line="250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1" w:name="bookmark11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3.2. Доходы и источники финансирования дефицита</w:t>
      </w:r>
      <w:bookmarkEnd w:id="11"/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Информация о доходах местного бюджета в 2013г. представлена в приложе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нии № 3,4.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Исполнение местного бюджета по доходам за 2013 год составило 32338,9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или 999,1% к плану и 256,6% к уровню прошлого года. •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результате сравнительного анализа поступления доходов в местный бюд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жет по данным УФНП и УФК отклонений не выявлено, как в общей сумме посту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плений доходов, так и по отдельным видам показателей.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Из общей суммы доходов налоговые и неналоговые поступления составили 1244,6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. или 3,8%, безвозмездные поступления- 31094,3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тыс.руб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или 96,2%.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08" w:line="326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По сравнению с предыдущим годом поступления в местный бюджет в целом увеличены на 19736,6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., в том числе за счет безвозмездных поступлений на 19757,2тыс рублей. Доля собственных доходов сокращена на 1,6%.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2" w:name="bookmark12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Налоговые доходы 1018,8тыс</w:t>
      </w:r>
      <w:proofErr w:type="gramStart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уб</w:t>
      </w:r>
      <w:bookmarkEnd w:id="12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3" w:name="bookmark13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Налог на доходы физических лиц 506,9 тыс. руб.</w:t>
      </w:r>
      <w:bookmarkEnd w:id="13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 сравнению с прошлым годом поступления данного налога снижены на 228,7тыс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 или на 31,1%.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4" w:name="bookmark14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Единый сельскохозяйственный налог</w:t>
      </w:r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 xml:space="preserve"> 135,1</w:t>
      </w:r>
      <w:proofErr w:type="gramStart"/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 xml:space="preserve"> рублей.</w:t>
      </w:r>
      <w:bookmarkEnd w:id="14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 уровню прошлого периода увеличение поступлений составило 131,2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5" w:name="bookmark15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Земельный налог 343,5тыс</w:t>
      </w:r>
      <w:proofErr w:type="gramStart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уб.</w:t>
      </w:r>
      <w:bookmarkEnd w:id="15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по сравнению с прошлым годом на 185,2тыс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уб, или на 117%.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7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6" w:name="bookmark16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Налог на имущество 32,6тыс</w:t>
      </w:r>
      <w:proofErr w:type="gramStart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уб</w:t>
      </w:r>
      <w:bookmarkEnd w:id="16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67" w:line="250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к уровню прошлого года составил 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12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7" w:name="bookmark17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Неналоговые доходы 225,8тыс</w:t>
      </w:r>
      <w:proofErr w:type="gramStart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уб</w:t>
      </w:r>
      <w:bookmarkEnd w:id="17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14" w:line="250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к уровню прошлого года составил 171,6% или на 94,2тыс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8" w:name="bookmark18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Безвозмездные поступления 31094,Зтыс руб.</w:t>
      </w:r>
      <w:bookmarkEnd w:id="18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Поступления к плану составили 274,3%. К прошлому году поступления воз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росли на 19757,2тыс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 или 174,3%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Дотации 8358,2тыс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 9211,3 </w:t>
      </w:r>
      <w:proofErr w:type="spell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Субвенции 69,2 </w:t>
      </w:r>
      <w:proofErr w:type="spell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Иные межбюджетные трансферты 1000,1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296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Прочие безвозмездные поступления 12455,5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9" w:name="bookmark19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Источники внутреннего финансирования дефицита бюджета</w:t>
      </w:r>
      <w:bookmarkEnd w:id="19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477" w:line="322" w:lineRule="exact"/>
        <w:ind w:left="40" w:right="4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Согласно отчета, доходы местного бюджета за 2013 г. исполнены в объеме 32338,9тыс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уб., расходы в объеме 28801,4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тыс.руб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неисполненные назначения составили по доходам 294,7тыс рублей, по расходам 5211,5тыс рублей.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05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0" w:name="bookmark20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3.3. Предоставление субсидий из местного бюджета</w:t>
      </w:r>
      <w:bookmarkEnd w:id="20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 решению органов МСУ субсидии предоставлялись: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numPr>
          <w:ilvl w:val="0"/>
          <w:numId w:val="3"/>
        </w:numPr>
        <w:tabs>
          <w:tab w:val="left" w:pos="789"/>
        </w:tabs>
        <w:spacing w:after="0" w:line="322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544527рублей МУП ИКС «Коммунальщик» на подготовку объектов ЖКХ к работе в зимний период по Соглашению № 2 от 27.07.2013г;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numPr>
          <w:ilvl w:val="0"/>
          <w:numId w:val="3"/>
        </w:numPr>
        <w:tabs>
          <w:tab w:val="left" w:pos="866"/>
        </w:tabs>
        <w:spacing w:after="0" w:line="322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1409946рублей МУП ИКС «Коммунальщик» на развитие социального и экономического потенциала муниципального образования, в том числе: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1120" w:right="16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1 от 08.05.2013г на сумму 315789рублей;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3 от 20.08.2013г на сумму 70500рублей;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4 от 23.08.201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66316рублей;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5 от 13.09.2013г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558000рублей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по Соглашению № 6 от 09.10.201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136640рублей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7 от 25.12.201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52700рублей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8 от 30.12.201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126842рублей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Порядок предоставления субсидий принят Решением сессии № 204 от 24.04.2013г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убсидии предоставлялись на основании решения сессий.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5" w:line="250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1" w:name="bookmark21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Выводы</w:t>
      </w:r>
      <w:bookmarkEnd w:id="21"/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1"/>
          <w:numId w:val="3"/>
        </w:numPr>
        <w:tabs>
          <w:tab w:val="left" w:pos="1010"/>
        </w:tabs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Лозовском сельском совете уровень налоговых и неналоговых доходов бюджета низок. Планируемые меры по развитию экономики не способны суще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 xml:space="preserve">ственно повлиять на уровень доходов и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дотационности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местного бюджета.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1"/>
          <w:numId w:val="3"/>
        </w:numPr>
        <w:tabs>
          <w:tab w:val="left" w:pos="1086"/>
        </w:tabs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Допускаются нарушения при правовом регулировании бюджетного про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 xml:space="preserve">цесса, составлении, утверждении, исполнении и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контроле за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исполнением бюдже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та, ведении бюджетного учета, формировании отчетности: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Муниципальные правовые акты, регулирующие бюджетный процесс, при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няты не в полном составе;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720" w:firstLine="6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Установлены случаи неполноты состава и недостоверности содержания бюджетной отчетности.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Реестр имущества не соответствует бухгалтерской отчетности. Отсутствует порядок ведения реестра муниципальной собственности.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244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Превышены нормативы формирования расходов на оплату труда муници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пальных служащих, утвержденные Постановлением Администрации области от 28.12.2007 № 206-па, на общую сумму 434464рубля 74 коп.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17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2" w:name="bookmark22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Предложения</w:t>
      </w:r>
      <w:bookmarkEnd w:id="22"/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17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Ревизионная комиссия предлагает: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270"/>
        </w:tabs>
        <w:spacing w:after="0" w:line="317" w:lineRule="exact"/>
        <w:ind w:left="40" w:right="2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привести в соответствии с законодательством существующие муниципальные правовые акты;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203"/>
        </w:tabs>
        <w:spacing w:after="0" w:line="317" w:lineRule="exact"/>
        <w:ind w:left="40" w:right="2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разработать и принять недостающие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муниципально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-правовые акты;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-ф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ормирование бюджетной отчетности проводить в соответствии с существую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щей инструкцией;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198"/>
        </w:tabs>
        <w:spacing w:after="57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реестр расходных обязатель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ств пр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ивести в соответствие с законодательством;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198"/>
        </w:tabs>
        <w:spacing w:after="0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усилить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контроль за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использованием бюджетных средств.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0" w:line="31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Согласно статье 264.4 Бюджетного кодекса N 145-ФЗ от 31.07.1998г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напр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вить экспертное заключение: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672" w:line="250" w:lineRule="exact"/>
        <w:ind w:left="40" w:right="48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— Главе администрации Лозовского сельсовета Баганского района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'</w:t>
      </w:r>
      <w:proofErr w:type="gramEnd"/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72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Председатель ревизионной комиссии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tabs>
          <w:tab w:val="left" w:pos="7475"/>
        </w:tabs>
        <w:spacing w:after="0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Баганского района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ab/>
        <w:t>И.М. Сапожникова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451192" w:rsidRPr="00451192" w:rsidRDefault="00451192" w:rsidP="00451192">
      <w:pPr>
        <w:framePr w:w="1681" w:wrap="auto" w:vAnchor="page" w:hAnchor="page" w:x="13921" w:y="1081"/>
        <w:spacing w:after="0" w:line="21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94"/>
        <w:gridCol w:w="1680"/>
        <w:gridCol w:w="1138"/>
        <w:gridCol w:w="1718"/>
        <w:gridCol w:w="20"/>
        <w:gridCol w:w="1232"/>
        <w:gridCol w:w="6"/>
        <w:gridCol w:w="1419"/>
        <w:gridCol w:w="7"/>
        <w:gridCol w:w="1872"/>
      </w:tblGrid>
      <w:tr w:rsidR="00451192" w:rsidRPr="00451192" w:rsidTr="00A748D0">
        <w:trPr>
          <w:trHeight w:val="945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600" w:line="240" w:lineRule="auto"/>
              <w:ind w:left="16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Наименование</w:t>
            </w:r>
          </w:p>
          <w:p w:rsidR="00451192" w:rsidRPr="00451192" w:rsidRDefault="00451192" w:rsidP="00451192">
            <w:pPr>
              <w:framePr w:w="13786" w:h="8482" w:wrap="auto" w:vAnchor="page" w:hAnchor="page" w:x="1686" w:y="2114"/>
              <w:spacing w:before="600" w:after="0" w:line="240" w:lineRule="auto"/>
              <w:ind w:left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0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2013 год</w:t>
            </w:r>
          </w:p>
        </w:tc>
      </w:tr>
      <w:tr w:rsidR="00451192" w:rsidRPr="00451192" w:rsidTr="00A748D0">
        <w:trPr>
          <w:trHeight w:val="1050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600" w:line="240" w:lineRule="auto"/>
              <w:ind w:left="16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proofErr w:type="spell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Тыс</w:t>
            </w:r>
            <w:proofErr w:type="gram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.р</w:t>
            </w:r>
            <w:proofErr w:type="gram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уб</w:t>
            </w:r>
            <w:proofErr w:type="spell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color w:val="000000"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40546" wp14:editId="279B3B7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1422400</wp:posOffset>
                      </wp:positionV>
                      <wp:extent cx="990600" cy="457200"/>
                      <wp:effectExtent l="0" t="0" r="0" b="444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roofErr w:type="spellStart"/>
                                  <w:r>
                                    <w:t>Тыс</w:t>
                                  </w:r>
                                  <w:proofErr w:type="gramStart"/>
                                  <w:r>
                                    <w:t>.р</w:t>
                                  </w:r>
                                  <w:proofErr w:type="gramEnd"/>
                                  <w:r>
                                    <w:t>ублей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2.15pt;margin-top:112pt;width:7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" stroked="f">
                      <v:textbox>
                        <w:txbxContent>
                          <w:p w:rsidR="00451192" w:rsidRPr="00401D93" w:rsidRDefault="00451192" w:rsidP="00451192">
                            <w:proofErr w:type="spellStart"/>
                            <w:r>
                              <w:t>Тыс</w:t>
                            </w:r>
                            <w:proofErr w:type="gramStart"/>
                            <w:r>
                              <w:t>.р</w:t>
                            </w:r>
                            <w:proofErr w:type="gramEnd"/>
                            <w:r>
                              <w:t>ублей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192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48FB6" wp14:editId="2649DFE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1485900</wp:posOffset>
                      </wp:positionV>
                      <wp:extent cx="701675" cy="279400"/>
                      <wp:effectExtent l="3175" t="1905" r="0" b="444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</w:pPr>
                                  <w: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4pt;margin-top:117pt;width:55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</w:pPr>
                            <w: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08ABE" wp14:editId="2A77A0B2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1371600</wp:posOffset>
                      </wp:positionV>
                      <wp:extent cx="1143000" cy="571500"/>
                      <wp:effectExtent l="4445" t="190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Отклонение (2012) тыс. рублей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left:0;text-align:left;margin-left:69.25pt;margin-top:108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Отклонение (2012) тыс. рублей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CA84D" wp14:editId="5FB171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1371600</wp:posOffset>
                      </wp:positionV>
                      <wp:extent cx="833755" cy="571500"/>
                      <wp:effectExtent l="4445" t="1905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01D93">
                                    <w:rPr>
                                      <w:sz w:val="22"/>
                                    </w:rPr>
                                    <w:t>Темп роста к 2012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left:0;text-align:left;margin-left:4pt;margin-top:108pt;width:65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01D93">
                              <w:rPr>
                                <w:sz w:val="22"/>
                              </w:rPr>
                              <w:t>Темп роста к 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</w:p>
        </w:tc>
      </w:tr>
      <w:tr w:rsidR="00451192" w:rsidRPr="00451192" w:rsidTr="00A748D0">
        <w:trPr>
          <w:trHeight w:val="5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2989,4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3525,2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535,8</w:t>
            </w:r>
          </w:p>
        </w:tc>
      </w:tr>
      <w:tr w:rsidR="00451192" w:rsidRPr="00451192" w:rsidTr="00A748D0">
        <w:trPr>
          <w:trHeight w:val="3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7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51192" w:rsidRPr="00451192" w:rsidTr="00A748D0">
        <w:trPr>
          <w:trHeight w:val="111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93" w:lineRule="exact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96,1</w:t>
            </w:r>
          </w:p>
        </w:tc>
      </w:tr>
      <w:tr w:rsidR="00451192" w:rsidRPr="00451192" w:rsidTr="00A748D0">
        <w:trPr>
          <w:trHeight w:val="5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7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4980,1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4973,2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3781,8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12553,5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331,9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8771,7</w:t>
            </w:r>
          </w:p>
        </w:tc>
      </w:tr>
      <w:tr w:rsidR="00451192" w:rsidRPr="00451192" w:rsidTr="00A748D0">
        <w:trPr>
          <w:trHeight w:val="5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4583,1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6008,9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1425,8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20,2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1355,6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1085,2</w:t>
            </w:r>
          </w:p>
        </w:tc>
      </w:tr>
      <w:tr w:rsidR="00451192" w:rsidRPr="00451192" w:rsidTr="00A748D0">
        <w:trPr>
          <w:trHeight w:val="62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11893,2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28801,4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242,2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16908,2</w:t>
            </w:r>
          </w:p>
        </w:tc>
      </w:tr>
    </w:tbl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6837" w:h="11905" w:orient="landscape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Структура дохода бюджета</w:t>
      </w: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Приложение №2</w:t>
      </w:r>
    </w:p>
    <w:p w:rsidR="00451192" w:rsidRPr="00451192" w:rsidRDefault="00451192" w:rsidP="00451192">
      <w:pPr>
        <w:framePr w:w="14791" w:wrap="auto" w:vAnchor="page" w:hAnchor="page" w:x="961" w:y="1081"/>
        <w:spacing w:after="0" w:line="210" w:lineRule="exact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Анализ динамики уровня доходов                                                                                                                                                                            Приложение № 1</w:t>
      </w:r>
    </w:p>
    <w:tbl>
      <w:tblPr>
        <w:tblStyle w:val="a5"/>
        <w:tblpPr w:leftFromText="180" w:rightFromText="180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4668"/>
        <w:gridCol w:w="1680"/>
        <w:gridCol w:w="1800"/>
        <w:gridCol w:w="1920"/>
        <w:gridCol w:w="1680"/>
        <w:gridCol w:w="1560"/>
        <w:gridCol w:w="1478"/>
      </w:tblGrid>
      <w:tr w:rsidR="00451192" w:rsidRPr="00451192" w:rsidTr="00A748D0">
        <w:trPr>
          <w:trHeight w:val="345"/>
        </w:trPr>
        <w:tc>
          <w:tcPr>
            <w:tcW w:w="4668" w:type="dxa"/>
            <w:vMerge w:val="restart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  <w:p w:rsidR="00451192" w:rsidRPr="00451192" w:rsidRDefault="00451192" w:rsidP="00451192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ab/>
              <w:t>Показатель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2011 год</w:t>
            </w:r>
          </w:p>
        </w:tc>
        <w:tc>
          <w:tcPr>
            <w:tcW w:w="3720" w:type="dxa"/>
            <w:gridSpan w:val="2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2012 год</w:t>
            </w:r>
          </w:p>
        </w:tc>
        <w:tc>
          <w:tcPr>
            <w:tcW w:w="4718" w:type="dxa"/>
            <w:gridSpan w:val="3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2013 год</w:t>
            </w:r>
          </w:p>
        </w:tc>
      </w:tr>
      <w:tr w:rsidR="00451192" w:rsidRPr="00451192" w:rsidTr="00A748D0">
        <w:trPr>
          <w:trHeight w:val="885"/>
        </w:trPr>
        <w:tc>
          <w:tcPr>
            <w:tcW w:w="4668" w:type="dxa"/>
            <w:vMerge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2010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2011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2012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 xml:space="preserve">ВСЕГО ДОХОДОВ, в </w:t>
            </w:r>
            <w:proofErr w:type="spellStart"/>
            <w:r w:rsidRPr="00451192">
              <w:rPr>
                <w:rFonts w:ascii="Arial" w:hAnsi="Arial" w:cs="Arial"/>
              </w:rPr>
              <w:t>т.ч</w:t>
            </w:r>
            <w:proofErr w:type="spellEnd"/>
            <w:r w:rsidRPr="00451192">
              <w:rPr>
                <w:rFonts w:ascii="Arial" w:hAnsi="Arial" w:cs="Arial"/>
              </w:rPr>
              <w:t>.: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10063,3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12602,3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125,2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32338,9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321,4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256,6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Налоговые и неналоговые доходы, из них: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988,0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1265,2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128,1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1244,6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126,0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98,4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919,6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1133,6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123,3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1018,8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110,8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89,9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68,4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131,6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177,8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225,8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330,1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171,6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9075,3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11337,1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124,9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31094,3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342,6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274,3</w:t>
            </w:r>
          </w:p>
        </w:tc>
      </w:tr>
    </w:tbl>
    <w:tbl>
      <w:tblPr>
        <w:tblpPr w:leftFromText="180" w:rightFromText="180" w:vertAnchor="text" w:horzAnchor="margin" w:tblpXSpec="center" w:tblpY="-7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25"/>
        <w:gridCol w:w="1435"/>
        <w:gridCol w:w="1595"/>
        <w:gridCol w:w="1299"/>
        <w:gridCol w:w="1430"/>
        <w:gridCol w:w="1464"/>
        <w:gridCol w:w="3036"/>
      </w:tblGrid>
      <w:tr w:rsidR="00451192" w:rsidRPr="00451192" w:rsidTr="00A748D0">
        <w:trPr>
          <w:trHeight w:val="27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2013 год</w:t>
            </w:r>
          </w:p>
        </w:tc>
      </w:tr>
      <w:tr w:rsidR="00451192" w:rsidRPr="00451192" w:rsidTr="00A748D0">
        <w:trPr>
          <w:trHeight w:val="83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80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</w:tr>
      <w:tr w:rsidR="00451192" w:rsidRPr="00451192" w:rsidTr="00A748D0">
        <w:trPr>
          <w:trHeight w:val="24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т.ч</w:t>
            </w:r>
            <w:proofErr w:type="spell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10063,3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</w:tr>
      <w:tr w:rsidR="00451192" w:rsidRPr="00451192" w:rsidTr="00A748D0">
        <w:trPr>
          <w:trHeight w:val="24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3,8</w:t>
            </w:r>
          </w:p>
        </w:tc>
      </w:tr>
      <w:tr w:rsidR="00451192" w:rsidRPr="00451192" w:rsidTr="00A748D0">
        <w:trPr>
          <w:trHeight w:val="24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3,2</w:t>
            </w:r>
          </w:p>
        </w:tc>
      </w:tr>
      <w:tr w:rsidR="00451192" w:rsidRPr="00451192" w:rsidTr="00A748D0">
        <w:trPr>
          <w:trHeight w:val="42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11" w:lineRule="exact"/>
              <w:ind w:right="3340"/>
              <w:jc w:val="right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неналого</w:t>
            </w: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softHyphen/>
              <w:t>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0.7</w:t>
            </w:r>
          </w:p>
        </w:tc>
      </w:tr>
      <w:tr w:rsidR="00451192" w:rsidRPr="00451192" w:rsidTr="00A748D0">
        <w:trPr>
          <w:trHeight w:val="42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Безвозмездные поступления</w:t>
            </w:r>
            <w:proofErr w:type="gramStart"/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9075,3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96,2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6329,4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6445,3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8358,2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25,8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right="3340"/>
              <w:jc w:val="right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2674,6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3821,8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9211,3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28,5</w:t>
            </w:r>
          </w:p>
        </w:tc>
      </w:tr>
      <w:tr w:rsidR="00451192" w:rsidRPr="00451192" w:rsidTr="00A748D0">
        <w:trPr>
          <w:trHeight w:val="22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0,2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3,1</w:t>
            </w:r>
          </w:p>
        </w:tc>
      </w:tr>
      <w:tr w:rsidR="00451192" w:rsidRPr="00451192" w:rsidTr="00A748D0">
        <w:trPr>
          <w:trHeight w:val="25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               12455,5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38,5</w:t>
            </w:r>
          </w:p>
        </w:tc>
      </w:tr>
    </w:tbl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6837" w:h="11905" w:orient="landscape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23" w:name="_GoBack"/>
      <w:bookmarkEnd w:id="23"/>
    </w:p>
    <w:sectPr w:rsidR="00451192" w:rsidRPr="00451192" w:rsidSect="00224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4E" w:rsidRDefault="00ED394E" w:rsidP="00451192">
      <w:pPr>
        <w:spacing w:after="0" w:line="240" w:lineRule="auto"/>
      </w:pPr>
      <w:r>
        <w:separator/>
      </w:r>
    </w:p>
  </w:endnote>
  <w:endnote w:type="continuationSeparator" w:id="0">
    <w:p w:rsidR="00ED394E" w:rsidRDefault="00ED394E" w:rsidP="0045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4E" w:rsidRDefault="00ED394E" w:rsidP="00451192">
      <w:pPr>
        <w:spacing w:after="0" w:line="240" w:lineRule="auto"/>
      </w:pPr>
      <w:r>
        <w:separator/>
      </w:r>
    </w:p>
  </w:footnote>
  <w:footnote w:type="continuationSeparator" w:id="0">
    <w:p w:rsidR="00ED394E" w:rsidRDefault="00ED394E" w:rsidP="0045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76" w:rsidRDefault="00ED394E">
    <w:pPr>
      <w:pStyle w:val="a3"/>
    </w:pPr>
  </w:p>
  <w:p w:rsidR="00224976" w:rsidRDefault="00ED394E">
    <w:pPr>
      <w:pStyle w:val="a3"/>
    </w:pPr>
  </w:p>
  <w:p w:rsidR="00224976" w:rsidRDefault="00ED394E">
    <w:pPr>
      <w:pStyle w:val="a3"/>
    </w:pPr>
  </w:p>
  <w:p w:rsidR="00224976" w:rsidRDefault="00ED39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74"/>
    <w:multiLevelType w:val="hybridMultilevel"/>
    <w:tmpl w:val="4448D39C"/>
    <w:lvl w:ilvl="0" w:tplc="012A168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6EE21C5C"/>
    <w:multiLevelType w:val="multilevel"/>
    <w:tmpl w:val="413ABA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9CF5237"/>
    <w:multiLevelType w:val="multilevel"/>
    <w:tmpl w:val="79CC07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1C"/>
    <w:rsid w:val="00451192"/>
    <w:rsid w:val="00DB081C"/>
    <w:rsid w:val="00DF2EF6"/>
    <w:rsid w:val="00E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192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aliases w:val="Table Grid Report"/>
    <w:basedOn w:val="a1"/>
    <w:rsid w:val="0045119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192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aliases w:val="Table Grid Report"/>
    <w:basedOn w:val="a1"/>
    <w:rsid w:val="0045119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k_bag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2714</Words>
  <Characters>15474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2014-09-04T04:25:00Z</dcterms:created>
  <dcterms:modified xsi:type="dcterms:W3CDTF">2014-09-04T04:26:00Z</dcterms:modified>
</cp:coreProperties>
</file>