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C10C8" w:rsidRPr="00CF348A" w:rsidTr="008B2680">
        <w:tc>
          <w:tcPr>
            <w:tcW w:w="5000" w:type="pct"/>
          </w:tcPr>
          <w:tbl>
            <w:tblPr>
              <w:tblW w:w="4921" w:type="pct"/>
              <w:tblInd w:w="147" w:type="dxa"/>
              <w:tblLook w:val="0000" w:firstRow="0" w:lastRow="0" w:firstColumn="0" w:lastColumn="0" w:noHBand="0" w:noVBand="0"/>
            </w:tblPr>
            <w:tblGrid>
              <w:gridCol w:w="9207"/>
            </w:tblGrid>
            <w:tr w:rsidR="006C10C8" w:rsidRPr="00CF348A" w:rsidTr="008B2680">
              <w:trPr>
                <w:trHeight w:val="2508"/>
              </w:trPr>
              <w:tc>
                <w:tcPr>
                  <w:tcW w:w="2355" w:type="pct"/>
                </w:tcPr>
                <w:p w:rsidR="006C10C8" w:rsidRPr="00CF348A" w:rsidRDefault="006C10C8" w:rsidP="008B26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EBB25C9" wp14:editId="7CA581FB">
                        <wp:extent cx="495300" cy="5715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10C8" w:rsidRPr="00CF348A" w:rsidRDefault="006C10C8" w:rsidP="008B26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РЕВИЗИОННАЯ КОМИССИЯ</w:t>
                  </w:r>
                </w:p>
                <w:p w:rsidR="006C10C8" w:rsidRPr="00CF348A" w:rsidRDefault="006C10C8" w:rsidP="008B26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    БАГАНСКОГО РАЙОНА НОВОСИБИРСКОЙ ОБЛАСТИ</w:t>
                  </w:r>
                </w:p>
                <w:p w:rsidR="006C10C8" w:rsidRPr="00CF348A" w:rsidRDefault="006C10C8" w:rsidP="008B26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                      Новосибирская область, 632770 с Баган, ул. М. Горького, 21</w:t>
                  </w:r>
                </w:p>
                <w:p w:rsidR="006C10C8" w:rsidRPr="00CF348A" w:rsidRDefault="006C10C8" w:rsidP="008B268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 xml:space="preserve">                               тел</w:t>
                  </w: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 w:eastAsia="ru-RU"/>
                    </w:rPr>
                    <w:t>.: (38353)21-543 E-mail: rvk_bagan@mail.ru</w:t>
                  </w:r>
                </w:p>
                <w:p w:rsidR="006C10C8" w:rsidRPr="00CF348A" w:rsidRDefault="006C10C8" w:rsidP="008B26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F348A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ОКПО 04035320  ОГРН 1045480001885 ИНН 5417104650 КПП 541701001</w:t>
                  </w:r>
                </w:p>
              </w:tc>
            </w:tr>
          </w:tbl>
          <w:p w:rsidR="006C10C8" w:rsidRPr="00CF348A" w:rsidRDefault="006C10C8" w:rsidP="008B2680">
            <w:pPr>
              <w:spacing w:after="120" w:line="480" w:lineRule="auto"/>
              <w:ind w:left="283" w:right="-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C10C8" w:rsidRPr="00CF348A" w:rsidRDefault="006C10C8" w:rsidP="006C10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ЗАКЛЮЧЕНИЕ</w:t>
      </w:r>
    </w:p>
    <w:p w:rsidR="006C10C8" w:rsidRPr="00CF348A" w:rsidRDefault="006C10C8" w:rsidP="006C10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Результатам внешней проверки годового отчета об исполнении бюджета  </w:t>
      </w:r>
    </w:p>
    <w:p w:rsidR="006C10C8" w:rsidRPr="00CF348A" w:rsidRDefault="006C10C8" w:rsidP="006C10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Администрации Лозовского сельского совета Баганского района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br/>
        <w:t>за 2014 год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16.03.2015г.                                                                                         </w:t>
      </w:r>
      <w:r w:rsidRPr="00CF348A">
        <w:rPr>
          <w:rFonts w:ascii="Arial" w:eastAsia="Times New Roman" w:hAnsi="Arial" w:cs="Arial"/>
          <w:sz w:val="20"/>
          <w:szCs w:val="20"/>
          <w:u w:val="single"/>
          <w:lang w:eastAsia="ru-RU"/>
        </w:rPr>
        <w:t>№ 1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Экспертное заключение Ревизионной комиссии Баганского района по отчету Администрации Лозовского сельсовета Баганского района об исполнении  бюджета за 2014год подготовлено в соответствии с Бюджетным кодексом РФ (БК РФ), Положением «О бюджетном устройстве и бюджетном процессе в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Баганском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 и «О ревизионной комиссии Баганского района Новосибирской области», иным действующим законодательством.</w:t>
      </w:r>
    </w:p>
    <w:p w:rsidR="006C10C8" w:rsidRPr="00CF348A" w:rsidRDefault="006C10C8" w:rsidP="006C10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Отчет об исполнении бюджета Лозовского сельсовета Баганского района Новосибирской области за 2014 год с пояснительной запиской и дополнительными материалами поступил в срок, установленный ст.16 Положения «О бюджетном устройстве и бюджетном процессе в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Баганском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районе».</w:t>
      </w:r>
    </w:p>
    <w:p w:rsidR="006C10C8" w:rsidRPr="00CF348A" w:rsidRDefault="006C10C8" w:rsidP="006C10C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Документы и материалы, представляемые одновременно с отчетом об исполнении местного бюджета представлены полностью.</w:t>
      </w:r>
    </w:p>
    <w:p w:rsidR="006C10C8" w:rsidRPr="00CF348A" w:rsidRDefault="006C10C8" w:rsidP="006C10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Цель внешней проверки: проверка соблюдения участниками бюджетного процесса требований бюджетного законодательства, оценка результативности и эффективности мер по социально-экономическому развитию, увеличению доходов и оптимизации расходов бюджета.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Содержание заключения: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1. Общие сведения о муниципальном образовании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2. Организация и осуществление бюджетного процесса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2.1. Правовое регулирование и участники бюджетного процесса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2.2. Составление проекта и содержание решения о бюджете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2.3. Формирование бюджетной отчетности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3. Исполнение бюджета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3.1. Расходы бюджета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3.2. Доходы и источники финансирования дефицита бюджета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3.3. Предоставление субсидий из местного бюджета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1.Общие сведения о муниципальном образовании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ОГРН 1025406226780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ОКПО 04202155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ИНН/КПП 5417100198/541701001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Глава администрации 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:Б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аранчиков Анатолий  Александрович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Главный бухгалтер: Матченко Татьяна Владимировна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Адрес:632774 с.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,  Баганского района, Новосибирской области, ул. Центральная, 1а.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Площадь Лозовского сельсовета составляет 49,3 тыс. га, численность населения  по состоянию на 01.01.2014г. по данным статистики -1685чел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о сравнению с 2013годом численность уменьшилась на 34 чел. Средняя заработная плата составила 15710рублей,что выше уровня прошлого года на 60%.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Основная отрасль экономики – сельское хозяйство. По данному показателю наблюдается незначительный рост. Возможности развития экономики связаны только с сельским хозяйством, в частности с животноводством.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Основные показатели, характеризующие социально-экономическое положение, заполнены не по всем графам таблицы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(Приложение №2). </w:t>
      </w:r>
    </w:p>
    <w:p w:rsidR="006C10C8" w:rsidRPr="00CF348A" w:rsidRDefault="006C10C8" w:rsidP="006C10C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                    </w:t>
      </w:r>
      <w:r w:rsidRPr="00CF348A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>2. Организация и осуществление бюджетного процесса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Соблюдение  органами местного самоуправления (МСУ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)в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ысокодотационных МО бюджетного законодательства при составлении проектов бюджетов, утверждении бюджетной отчетности является одним из условий предоставления межбюджетных трансфертов из областного бюджета.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2.1. Правовое регулирование бюджетного процесса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В ходе внешней проверки установлено, что необходимые для осуществления бюджетного процесса муниципальные правовые акты Совета депутатов и администрации, приняты не в полном составе (утверждение форм регистров бюджетного учета и правил их ведения, порядок  формирования, обеспечения размещения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исполнения и контроля за исполнением муниципального заказа). 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В администрации  отсутствует подразделение, осуществляющее функции финансового органа. Функции  финансового органа выполняет бухгалтер администрации Матченко Татьяна Владимировна.    Администрация выполняет функции главного распорядителя бюджетных средств. В 2013году полномочия по осуществлению  внешнего муниципального финансового контроля переданы в ревизионную комиссию Баганского района. Экспертиза проекта бюджета на 2014 год  проведена. 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2.2. Составление проекта и содержание решения о бюджете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При составлении проектов о бюджете на 2014г и на плановый период 2015-2016г были подготовлены документы, предусмотренные ст. 172 БК РФ (прогноз социально-экономического развития, основные направления бюджетной и налоговой политики)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днако прогноз социально-экономического развития  в соответствии со ст.173 БК  не  одобряется администрацией одновременно с принятием решения о внесении проекта в представительный орган.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При внесении в бюджет изменений  утверждаются изменения основных параметров бюджета в текстовой части решения о бюджете (доходов, расходов, дефицита) и новых редакций изменяемых приложений.</w:t>
      </w:r>
    </w:p>
    <w:p w:rsidR="006C10C8" w:rsidRPr="00CF348A" w:rsidRDefault="006C10C8" w:rsidP="006C10C8">
      <w:pPr>
        <w:spacing w:after="0" w:line="235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Решение о бюджете (последние изменения внесены 26.12.2014г. 63 сессией Совета депутатов Лозовского сельсовета) не соответствуют фактическому исполнению бюджета за 2014год.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2.3. Формирование бюджетной отчетности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35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Годовая бухгалтерская отчетность за 2014год сформирована в соответствии с Инструкцией  о порядке составления и представления годовой, квартальной и месячной бюджетной отчетности, утвержденной Приказом МФ РФ от 29.12.2011г.№191н. 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В ходе внешней проверки недостоверности данных о фактическом размере доходов, расходов и источников финансирования дефицита бюджета в годовом отчете об исполнении бюджета за 2014год не установлено.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Не представлена в формах отчетность главных администраторов поступлений, являющихся органами власти другого уровня (отсутствуют данные о задолженности по местным налогам). В соответствии с п. 274 Инструкции по бюджетной отчетности федеральные и областные государственные органы предоставляют отчетность в согласованные сроки.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Учет сумм доходов от использования имущества, поступающих в виде арендной платы отражаются в отчетности в сумме их кассовых поступлений на единый счет бюджета, учет доходов и задолженности плательщиков не ведется. Такой метод учета доходов следует отразить в пояснительной записке, а неучтенную дебиторскую задолженность – поставить на учет.</w:t>
      </w:r>
    </w:p>
    <w:p w:rsidR="006C10C8" w:rsidRPr="00CF348A" w:rsidRDefault="006C10C8" w:rsidP="006C10C8">
      <w:pPr>
        <w:spacing w:after="0" w:line="235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Данные Реестра имущества расходятся с данными  годовой  бухгалтерской отчетности с балансом исполнения бюджета  (форма 0503120) и сведениями о движении нефинансовых активо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в(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форма 0503168). Необходимо утвердить Порядок ведения реестра муниципальной собственности в соответствии с приказом Минэкономразвития РФ от 30.08.2011г № 424. </w:t>
      </w:r>
    </w:p>
    <w:p w:rsidR="006C10C8" w:rsidRPr="00CF348A" w:rsidRDefault="006C10C8" w:rsidP="006C10C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3. Исполнение бюджета</w:t>
      </w: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35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3.1. Расходы бюджета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Информация о   расходах местного бюджета в 2014г. представлена в приложении № 2.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Расходы местного бюджета исполнены в объеме 26854,0тыс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86,8% к плану. К уровню прошлого года расходы составили 93,2%. 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01 «Общегосударственные вопросы» расходы исполнены в объеме 2613,8тыс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 Удельный вес раздела в расходах бюджета составил 9,7%. Наибольший удельный вес в структуре расходов по разделу составили подразделы заработная плата (64,4%), начисления на оплату труда (15,8%).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ходе проверки нормативов формирования расходов на оплату труда глав, муниципальных служащих и содержание органов МСУ, утвержденных Постановлением Администрации Новосибирской области от 28.12.2007г.№206-па,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нарушений не обнаружено.  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По разделу 02 «Национальная оборона» исполнено 67,9тыс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93,3% к плану. К уровню 2013года расходы снижены на 1,7% или 1,2тыс. рублей. 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По разделу 03 «Национальная безопасность и правоохранительная деятельность» исполнено 259,9тыс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100% к плану. В данном разделе отражены расходы по защите населения и территории от чрезвычайных ситуаций. На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противопаводковые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 из резервного фонда направлено 42,0тыс.руб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.Н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а бесперебойное обеспечение теплоснабжения населения и объектов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соц.сферы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направлено 180,0тыс.рублей.Приобретены пожарные гидранты на сумму 35,0тыс.рублей.</w:t>
      </w:r>
    </w:p>
    <w:p w:rsidR="006C10C8" w:rsidRPr="00CF348A" w:rsidRDefault="006C10C8" w:rsidP="006C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04 «Национальная экономика» исполнено 7595,2 тыс. рублей или 87,6% к плану. По данному разделу отражены расходы по ДЦП «Развитие автомобильных дорог в Новосибирской области на 2012-2014 годы» в сумме 4052,4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На другие вопросы в области национальной экономики направлено расходов 3542,8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уб.или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93,7% от плановых назначений. Удельный вес расходов  по данному разделу составляет 28,3% в общей структуре расходов. </w:t>
      </w:r>
    </w:p>
    <w:p w:rsidR="006C10C8" w:rsidRPr="00CF348A" w:rsidRDefault="006C10C8" w:rsidP="006C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C10C8" w:rsidRPr="00CF348A" w:rsidRDefault="006C10C8" w:rsidP="006C10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По разделу 05 «Жилищно-коммунальное хозяйство» исполнено 11233,5тыс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 или 78,9% к плану. К уровню прошлого 2013года расходы снижены на 1320,1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В общей структуре расходов расходы на жилищно-коммунальное хозяйство занимают 41,8%.</w:t>
      </w:r>
    </w:p>
    <w:p w:rsidR="006C10C8" w:rsidRPr="00CF348A" w:rsidRDefault="006C10C8" w:rsidP="006C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подраздел 05 02 «Коммунальное хозяйство» расходы составили 10487,9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ублей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– 77,8% к плановым назначениям на год. </w:t>
      </w:r>
    </w:p>
    <w:p w:rsidR="006C10C8" w:rsidRPr="00CF348A" w:rsidRDefault="006C10C8" w:rsidP="006C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Предоставление субсидий 2947,1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</w:t>
      </w:r>
    </w:p>
    <w:p w:rsidR="006C10C8" w:rsidRPr="00CF348A" w:rsidRDefault="006C10C8" w:rsidP="006C10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подраздел 05 03 «Благоустройство»</w:t>
      </w:r>
      <w:r w:rsidRPr="00CF348A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исполнен в сумме 698,0 </w:t>
      </w:r>
      <w:proofErr w:type="spellStart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proofErr w:type="spellEnd"/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100% к плановым назначениям. 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08 «Культура, кинематография»  исполнено 3798,3тыс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 или 100% к расходам. К уровню прошлого года расходы снижены на 36,8% или 2210,6тыс. рублей. 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разделу 10 «Социальная политика» исполнено251,7тыс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 или 100% к расходам. Рост расходов по сравнению с 2013годом составил 18,3%. В данном разделе отражены расходы по выплате доплат к пенсиям муниципальных служащих.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Расходы по разделу 11 «Физическая культура и спорт»  исполнено 1033,7тыс</w:t>
      </w:r>
      <w:proofErr w:type="gramStart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уб или 100% к расходам бюджета. По сравнению с 2013годом расходы уменьшены на 322,0тыс</w:t>
      </w:r>
      <w:proofErr w:type="gramStart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bCs/>
          <w:sz w:val="20"/>
          <w:szCs w:val="20"/>
          <w:lang w:eastAsia="ru-RU"/>
        </w:rPr>
        <w:t>уб.или на 23,8%.</w:t>
      </w:r>
    </w:p>
    <w:p w:rsidR="006C10C8" w:rsidRPr="00CF348A" w:rsidRDefault="006C10C8" w:rsidP="006C10C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                   3.2. Доходы и источники финансирования дефицита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Информация о  доходах местного бюджета в 2014г. представлена в приложении   № 3,4.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Исполнение местного бюджета по доходам за 2014 год составило 22424,9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 или 84,6% к плану и 69,3% к уровню прошлого года.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В результате сравнительного анализа поступления доходов в местный бюджет по данным УФНП и УФК отклонений не выявлено, как в общей сумме поступлений  доходов, так и по отдельным видам  показателей.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Из общей суммы доходов налоговые и неналоговые поступления составили 1242,5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 или 5,5%, безвозмездные поступления – 21182,4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тыс.руб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 или 94,5%.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сравнению с предыдущим годом поступления в местный бюджет в целом снижены на 9914,0 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., в том числе за счет безвозмездных поступлений на 9911,9тыс рублей. Собственные доходы сокращены на 0,2 %.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Налоговые доходы  1107,4 </w:t>
      </w:r>
      <w:proofErr w:type="spellStart"/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уб</w:t>
      </w:r>
      <w:proofErr w:type="spellEnd"/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Налог на доходы физических лиц 620,6 тыс. руб.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 сравнению с прошлым годом поступления данного налога увеличены на 113,7тыс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уб. или  на 22,4%. 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Единый сельскохозяйственный налог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5,1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рублей.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К уровню прошлого периода  поступление снижено на 130,тыс. рублей.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Земельный налог 370,4тыс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Рост по сравнению с прошлым годом на 26,9тыс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уб, или на 108%.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Налог на имущество 37,2тыс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Рост к уровню прошлого года составил 4,6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ублей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Неналоговые доходы 135,1тыс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Снижение  к уровню прошлого года составил 40,2% или на 90,7тыс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Безвозмездные поступления 21182,4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руб.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Поступления к плану составили 84,7%. К прошлому году поступления снижены на 9911,9тыс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ублей или 31,9% 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Дотации 10740,2тыс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Субсидии 3932,3 </w:t>
      </w:r>
      <w:proofErr w:type="spell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  <w:proofErr w:type="spellEnd"/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Субвенции 68,0 </w:t>
      </w:r>
      <w:proofErr w:type="spell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уб</w:t>
      </w:r>
      <w:proofErr w:type="spellEnd"/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Иные межбюджетные трансферты 6211,4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рублей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Прочие безвозмездные поступления 230,5</w:t>
      </w:r>
      <w:proofErr w:type="gramStart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>тыс</w:t>
      </w:r>
      <w:proofErr w:type="gramEnd"/>
      <w:r w:rsidRPr="00CF348A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рублей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Источники внутреннего финансирования дефицита бюджета</w:t>
      </w:r>
    </w:p>
    <w:p w:rsidR="006C10C8" w:rsidRPr="00CF348A" w:rsidRDefault="006C10C8" w:rsidP="006C10C8">
      <w:pPr>
        <w:spacing w:after="12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Согласно отчета, доходы местного бюджета за 2014</w:t>
      </w:r>
      <w:r w:rsidRPr="00CF348A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г. исполнены в объеме 22424,9тыс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уб., расходы в объеме 26854,0 тыс. руб., с учетом остатка на лицевом счете по состоянию на 01.01.2014г.-4429,6тыс.руб. Остаток денежных средств по состоянию на 01.01.2015г.составил 506,71 рублей.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3.3. Предоставление субсидий из местного бюджета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По решению органов МСУ субсидии предоставлялись: </w:t>
      </w:r>
    </w:p>
    <w:p w:rsidR="006C10C8" w:rsidRPr="00CF348A" w:rsidRDefault="006C10C8" w:rsidP="006C10C8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- 437895,00 рублей МУП ИКС «Коммунальщик» на подготовку объектов ЖКХ к работе в зимний период по Соглашению № 4 от 29.07.2014г;</w:t>
      </w:r>
    </w:p>
    <w:p w:rsidR="006C10C8" w:rsidRPr="00CF348A" w:rsidRDefault="006C10C8" w:rsidP="006C10C8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-2509180,96 рублей МУП ИКС «Коммунальщик» на оздоровление финансового положения предприятий ЖКХ: </w:t>
      </w:r>
    </w:p>
    <w:p w:rsidR="006C10C8" w:rsidRPr="00CF348A" w:rsidRDefault="006C10C8" w:rsidP="006C10C8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-соглашение №1 от 26.02.14г. на сумму 120000-00рублей,</w:t>
      </w:r>
    </w:p>
    <w:p w:rsidR="006C10C8" w:rsidRPr="00CF348A" w:rsidRDefault="006C10C8" w:rsidP="006C10C8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-соглашение №2 от 06.05.14г. на сумму 1189180,96 рублей,</w:t>
      </w:r>
    </w:p>
    <w:p w:rsidR="006C10C8" w:rsidRPr="00CF348A" w:rsidRDefault="006C10C8" w:rsidP="006C10C8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-соглашение №3 от 09.07.14г. на сумму 1200000,00рублей.</w:t>
      </w:r>
    </w:p>
    <w:p w:rsidR="006C10C8" w:rsidRPr="00CF348A" w:rsidRDefault="006C10C8" w:rsidP="006C10C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bCs/>
          <w:kern w:val="32"/>
          <w:sz w:val="20"/>
          <w:szCs w:val="20"/>
          <w:lang w:eastAsia="ru-RU"/>
        </w:rPr>
        <w:t xml:space="preserve">         Выводы 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По результатам внешней проверке отчета об исполнении бюджета Лозовского сельсовета Баганского района за 2014год, Ревизионная комиссия считает ,что основные параметры бюджета за 2014год в основном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выполнены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тчет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составлен в соответствии с требованиями БК РФ ,Положения «О бюджетном устройстве и бюджетном процессе в Лозовском сельсовете», и иными НПА.   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Наряду с этим имеется ряд замечаний и нарушений: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1. В Лозовском сельском совете уровень налоговых и неналоговых доходов бюджета  низок. Планируемые меры по развитию экономики не способны существенно повлиять на уровень доходов и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дотационности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местного бюджета.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2.  Допускаются нарушения при правовом регулировании бюджетного процесса, составлении, утверждении, исполнении и 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контроле за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бюджета, ведении бюджетного учета, формировании отчетности: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-  Муниципальные правовые акты, регулирующие бюджетный процесс, приняты не в полном составе;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- Установлены случаи неполноты состава  бюджетной отчетности.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- Реестр имущества не соответствует бухгалтерской отчетности. Отсутствует порядок ведения реестра муниципальной собственности.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Предложения 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Ревизионная комиссия предлагает: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- привести в соответствии с законодательством существующие муниципальные правовые акты;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- разработать и принять недостающие </w:t>
      </w:r>
      <w:proofErr w:type="spell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муниципально</w:t>
      </w:r>
      <w:proofErr w:type="spell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-правовые акты;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-формирование бюджетной отчетности проводить в соответствии с существующей инструкцией; 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- реестр расходных обязатель</w:t>
      </w:r>
      <w:proofErr w:type="gramStart"/>
      <w:r w:rsidRPr="00CF348A">
        <w:rPr>
          <w:rFonts w:ascii="Arial" w:eastAsia="Times New Roman" w:hAnsi="Arial" w:cs="Arial"/>
          <w:sz w:val="20"/>
          <w:szCs w:val="20"/>
          <w:lang w:eastAsia="ru-RU"/>
        </w:rPr>
        <w:t>ств пр</w:t>
      </w:r>
      <w:proofErr w:type="gramEnd"/>
      <w:r w:rsidRPr="00CF348A">
        <w:rPr>
          <w:rFonts w:ascii="Arial" w:eastAsia="Times New Roman" w:hAnsi="Arial" w:cs="Arial"/>
          <w:sz w:val="20"/>
          <w:szCs w:val="20"/>
          <w:lang w:eastAsia="ru-RU"/>
        </w:rPr>
        <w:t>ивести в соответствие с законодательством;</w:t>
      </w: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Согласно статье 264.4 Бюджетного кодекса N 145-ФЗ от 31.07.1998г направить экспертное заключение:</w:t>
      </w:r>
    </w:p>
    <w:p w:rsidR="006C10C8" w:rsidRPr="00CF348A" w:rsidRDefault="006C10C8" w:rsidP="006C10C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sym w:font="Symbol" w:char="F0BE"/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 Главе администрации Лозовского сельсовета Баганского района.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tabs>
          <w:tab w:val="right" w:pos="990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Председатель ревизионной комиссии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Н.В.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Остапенко.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6C10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_</w:t>
      </w:r>
      <w:r w:rsidRPr="00CF348A">
        <w:rPr>
          <w:rFonts w:ascii="Arial" w:eastAsia="Times New Roman" w:hAnsi="Arial" w:cs="Arial"/>
          <w:sz w:val="20"/>
          <w:szCs w:val="20"/>
          <w:u w:val="single"/>
          <w:lang w:eastAsia="ru-RU"/>
        </w:rPr>
        <w:t>2</w:t>
      </w:r>
      <w:r w:rsidRPr="00CF348A">
        <w:rPr>
          <w:rFonts w:ascii="Arial" w:eastAsia="Times New Roman" w:hAnsi="Arial" w:cs="Arial"/>
          <w:sz w:val="20"/>
          <w:szCs w:val="20"/>
          <w:lang w:eastAsia="ru-RU"/>
        </w:rPr>
        <w:t>___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701"/>
        <w:gridCol w:w="1134"/>
        <w:gridCol w:w="1701"/>
        <w:gridCol w:w="1276"/>
        <w:gridCol w:w="1417"/>
        <w:gridCol w:w="1843"/>
      </w:tblGrid>
      <w:tr w:rsidR="006C10C8" w:rsidRPr="00CF348A" w:rsidTr="008B2680">
        <w:trPr>
          <w:trHeight w:val="1774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 год</w:t>
            </w:r>
          </w:p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год</w:t>
            </w:r>
          </w:p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0C8" w:rsidRPr="00CF348A" w:rsidTr="008B2680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 роста к 2013г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  (2013г) тыс. рублей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-911,4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-1,2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163,8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2615,1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-1320,1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-2210,6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-322,0</w:t>
            </w:r>
          </w:p>
        </w:tc>
      </w:tr>
      <w:tr w:rsidR="006C10C8" w:rsidRPr="00CF348A" w:rsidTr="008B268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tabs>
                <w:tab w:val="left" w:pos="9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-1947,4</w:t>
            </w:r>
          </w:p>
        </w:tc>
      </w:tr>
    </w:tbl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6C10C8" w:rsidSect="00CF348A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_3__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>Анализ динамики уровня доходов</w:t>
      </w:r>
    </w:p>
    <w:tbl>
      <w:tblPr>
        <w:tblW w:w="147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1701"/>
        <w:gridCol w:w="1276"/>
        <w:gridCol w:w="1535"/>
        <w:gridCol w:w="1300"/>
        <w:gridCol w:w="1300"/>
      </w:tblGrid>
      <w:tr w:rsidR="006C10C8" w:rsidRPr="00CF348A" w:rsidTr="008B2680"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  <w:br w:type="page"/>
            </w: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4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</w:tr>
      <w:tr w:rsidR="006C10C8" w:rsidRPr="00CF348A" w:rsidTr="008B2680">
        <w:tc>
          <w:tcPr>
            <w:tcW w:w="56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роста к  2012 году, %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роста к 2012 году,%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роста к 2013 году,%</w:t>
            </w:r>
          </w:p>
        </w:tc>
      </w:tr>
      <w:tr w:rsidR="006C10C8" w:rsidRPr="00CF348A" w:rsidTr="008B268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ДОХОДОВ, в </w:t>
            </w:r>
            <w:proofErr w:type="spell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12602,3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32338,9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256,6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22424,9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6C10C8" w:rsidRPr="00CF348A" w:rsidTr="008B2680"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1244,6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1242,5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6C10C8" w:rsidRPr="00CF348A" w:rsidTr="008B2680"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1107,4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108,7</w:t>
            </w:r>
          </w:p>
        </w:tc>
      </w:tr>
      <w:tr w:rsidR="006C10C8" w:rsidRPr="00CF348A" w:rsidTr="008B2680"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59,8</w:t>
            </w:r>
          </w:p>
        </w:tc>
      </w:tr>
      <w:tr w:rsidR="006C10C8" w:rsidRPr="00CF348A" w:rsidTr="008B2680"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21182,4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</w:tbl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6C10C8" w:rsidRPr="00CF348A" w:rsidRDefault="006C10C8" w:rsidP="006C10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Приложение № _4__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F348A">
        <w:rPr>
          <w:rFonts w:ascii="Arial" w:eastAsia="Times New Roman" w:hAnsi="Arial" w:cs="Arial"/>
          <w:sz w:val="20"/>
          <w:szCs w:val="20"/>
          <w:lang w:eastAsia="ru-RU"/>
        </w:rPr>
        <w:t xml:space="preserve">структура доходов бюджета  </w:t>
      </w: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1441"/>
        <w:gridCol w:w="1441"/>
        <w:gridCol w:w="1441"/>
        <w:gridCol w:w="1441"/>
        <w:gridCol w:w="1441"/>
        <w:gridCol w:w="1442"/>
      </w:tblGrid>
      <w:tr w:rsidR="006C10C8" w:rsidRPr="00CF348A" w:rsidTr="008B2680">
        <w:tc>
          <w:tcPr>
            <w:tcW w:w="4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2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2014 год 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доходов,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доходов,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proofErr w:type="gramEnd"/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доходов,</w:t>
            </w:r>
          </w:p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ДОХОДОВ, в </w:t>
            </w:r>
            <w:proofErr w:type="spell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12602,3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32338,9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22424,9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1244,6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1018,8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1107,4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неналого</w:t>
            </w:r>
            <w:proofErr w:type="spellEnd"/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  <w:p w:rsidR="006C10C8" w:rsidRPr="00CF348A" w:rsidRDefault="006C10C8" w:rsidP="008B2680">
            <w:pPr>
              <w:spacing w:after="0" w:line="240" w:lineRule="auto"/>
              <w:ind w:left="252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вые доходы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В том числе: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11337,1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31094,3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21182,4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дотации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6445,3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8358,2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10740,2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47,9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субсидии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3821,8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9211,3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3932,3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субвенции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6211,4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27,7</w:t>
            </w:r>
          </w:p>
        </w:tc>
      </w:tr>
      <w:tr w:rsidR="006C10C8" w:rsidRPr="00CF348A" w:rsidTr="008B2680">
        <w:tc>
          <w:tcPr>
            <w:tcW w:w="4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12455,5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0C8" w:rsidRPr="00CF348A" w:rsidRDefault="006C10C8" w:rsidP="008B2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34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</w:tbl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0C8" w:rsidRPr="00CF348A" w:rsidRDefault="006C10C8" w:rsidP="006C10C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F2EF6" w:rsidRDefault="00DF2EF6"/>
    <w:sectPr w:rsidR="00DF2EF6" w:rsidSect="00CF34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90"/>
    <w:rsid w:val="006C10C8"/>
    <w:rsid w:val="00774E90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2520</Words>
  <Characters>14365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2015-05-27T08:51:00Z</dcterms:created>
  <dcterms:modified xsi:type="dcterms:W3CDTF">2015-05-27T08:52:00Z</dcterms:modified>
</cp:coreProperties>
</file>