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DB" w:rsidRDefault="00F133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22860</wp:posOffset>
                </wp:positionV>
                <wp:extent cx="2762250" cy="132397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1B4" w:rsidRPr="0061667A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F3883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к письму </w:t>
                            </w:r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администрации</w:t>
                            </w:r>
                          </w:p>
                          <w:p w:rsidR="008931B4" w:rsidRPr="0061667A" w:rsidRDefault="00CF3883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Лозовского сельсовета</w:t>
                            </w:r>
                            <w:r w:rsidR="008931B4"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931B4" w:rsidRPr="0061667A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</w:t>
                            </w:r>
                            <w:proofErr w:type="spellEnd"/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8931B4" w:rsidRPr="0061667A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8931B4" w:rsidRPr="0061667A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82DE9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13.01.2021</w:t>
                            </w:r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 w:rsidR="007957D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2DE9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  <w:proofErr w:type="gramEnd"/>
                            <w:r w:rsidRPr="0061667A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931B4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:rsidR="008931B4" w:rsidRDefault="008931B4" w:rsidP="008931B4">
                            <w:pPr>
                              <w:pStyle w:val="a6"/>
                              <w:spacing w:before="0" w:beforeAutospacing="0" w:after="0" w:afterAutospacing="0"/>
                              <w:ind w:left="708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95pt;margin-top:1.8pt;width:217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" filled="f" stroked="f">
                <v:textbox inset="0,2.16pt,2.16pt,0">
                  <w:txbxContent>
                    <w:p w:rsidR="008931B4" w:rsidRPr="0061667A" w:rsidRDefault="008931B4" w:rsidP="008931B4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</w:p>
                    <w:p w:rsidR="00CF3883" w:rsidRDefault="008931B4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к письму </w:t>
                      </w:r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администрации</w:t>
                      </w:r>
                    </w:p>
                    <w:p w:rsidR="008931B4" w:rsidRPr="0061667A" w:rsidRDefault="00CF3883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Лозовского сельсовета</w:t>
                      </w:r>
                      <w:r w:rsidR="008931B4"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931B4" w:rsidRPr="0061667A" w:rsidRDefault="008931B4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</w:t>
                      </w:r>
                      <w:proofErr w:type="spellEnd"/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8931B4" w:rsidRPr="0061667A" w:rsidRDefault="008931B4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  <w:rPr>
                          <w:sz w:val="28"/>
                          <w:szCs w:val="28"/>
                        </w:rPr>
                      </w:pPr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:rsidR="008931B4" w:rsidRPr="0061667A" w:rsidRDefault="008931B4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  <w:rPr>
                          <w:sz w:val="28"/>
                          <w:szCs w:val="28"/>
                        </w:rPr>
                      </w:pPr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 w:rsidR="00982DE9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13.01.2021</w:t>
                      </w:r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№</w:t>
                      </w:r>
                      <w:r w:rsidR="007957D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982DE9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15</w:t>
                      </w:r>
                      <w:proofErr w:type="gramEnd"/>
                      <w:r w:rsidRPr="0061667A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931B4" w:rsidRDefault="008931B4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:rsidR="008931B4" w:rsidRDefault="008931B4" w:rsidP="008931B4">
                      <w:pPr>
                        <w:pStyle w:val="a6"/>
                        <w:spacing w:before="0" w:beforeAutospacing="0" w:after="0" w:afterAutospacing="0"/>
                        <w:ind w:left="708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31B4" w:rsidRDefault="008931B4"/>
    <w:p w:rsidR="008931B4" w:rsidRDefault="008931B4"/>
    <w:p w:rsidR="00CF3883" w:rsidRDefault="00CF3883"/>
    <w:p w:rsidR="008931B4" w:rsidRDefault="008931B4"/>
    <w:p w:rsidR="008931B4" w:rsidRDefault="008931B4"/>
    <w:p w:rsidR="008C24DB" w:rsidRDefault="008C24DB"/>
    <w:p w:rsidR="008C24DB" w:rsidRDefault="008C24DB"/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ФЕДЕРАЛЬНОЕ СТАТИСТИЧЕСКОЕ НАБЛЮДЕНИЕ</w:t>
            </w:r>
          </w:p>
        </w:tc>
      </w:tr>
    </w:tbl>
    <w:p w:rsidR="0058525A" w:rsidRPr="008931B4" w:rsidRDefault="0058525A" w:rsidP="0058525A">
      <w:pPr>
        <w:rPr>
          <w:rFonts w:eastAsia="Times New Roman" w:cs="Times New Roman"/>
          <w:vanish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Нарушение порядка предоставления первичных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статьей </w:t>
            </w:r>
            <w:hyperlink r:id="rId4" w:history="1">
              <w:r w:rsidRPr="008931B4">
                <w:rPr>
                  <w:rFonts w:ascii="inherit" w:eastAsia="Times New Roman" w:hAnsi="inherit" w:cs="Times New Roman"/>
                  <w:bCs/>
                  <w:color w:val="000000" w:themeColor="text1"/>
                  <w:u w:val="single"/>
                  <w:bdr w:val="none" w:sz="0" w:space="0" w:color="auto" w:frame="1"/>
                </w:rPr>
                <w:t>13.19 Кодекса Российской Федерации об административных правонарушениях</w:t>
              </w:r>
            </w:hyperlink>
            <w:r w:rsidRPr="008931B4">
              <w:rPr>
                <w:rFonts w:ascii="inherit" w:eastAsia="Times New Roman" w:hAnsi="inherit" w:cs="Times New Roman"/>
                <w:bCs/>
                <w:color w:val="000000" w:themeColor="text1"/>
              </w:rPr>
              <w:t> о</w:t>
            </w:r>
            <w:r w:rsidRPr="008931B4">
              <w:rPr>
                <w:rFonts w:ascii="inherit" w:eastAsia="Times New Roman" w:hAnsi="inherit" w:cs="Times New Roman"/>
                <w:bCs/>
              </w:rPr>
              <w:t>т 30.12.2001 N 195-ФЗ, а также статьей 3 Закона Российской Федерации от 13.05.1992 N </w:t>
            </w:r>
            <w:hyperlink r:id="rId5" w:history="1">
              <w:r w:rsidRPr="008931B4">
                <w:rPr>
                  <w:rFonts w:ascii="inherit" w:eastAsia="Times New Roman" w:hAnsi="inherit" w:cs="Times New Roman"/>
                  <w:bCs/>
                  <w:color w:val="000000" w:themeColor="text1"/>
                  <w:u w:val="single"/>
                  <w:bdr w:val="none" w:sz="0" w:space="0" w:color="auto" w:frame="1"/>
                </w:rPr>
                <w:t>2761-1</w:t>
              </w:r>
            </w:hyperlink>
            <w:r w:rsidRPr="008931B4">
              <w:rPr>
                <w:rFonts w:ascii="inherit" w:eastAsia="Times New Roman" w:hAnsi="inherit" w:cs="Times New Roman"/>
                <w:bCs/>
              </w:rPr>
              <w:t>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8525A" w:rsidRPr="008931B4" w:rsidRDefault="0058525A" w:rsidP="0058525A">
      <w:pPr>
        <w:rPr>
          <w:rFonts w:eastAsia="Times New Roman" w:cs="Times New Roman"/>
          <w:vanish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ПРЕДОСТАВЛЯЕТСЯ В ЭЛЕКТРОННОМ ВИДЕ</w:t>
            </w:r>
          </w:p>
        </w:tc>
      </w:tr>
    </w:tbl>
    <w:p w:rsidR="0058525A" w:rsidRPr="008931B4" w:rsidRDefault="0058525A" w:rsidP="0058525A">
      <w:pPr>
        <w:rPr>
          <w:rFonts w:eastAsia="Times New Roman" w:cs="Times New Roman"/>
          <w:vanish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8525A" w:rsidRPr="00E226A2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СВЕДЕНИЯ О ПРЕДОСТАВЛЕНИИ ГОСУДАРСТВЕННЫХ (МУНИЦИПАЛЬНЫХ) УСЛУГ</w:t>
            </w:r>
          </w:p>
          <w:p w:rsidR="0058525A" w:rsidRPr="00BE36C9" w:rsidRDefault="00CF3883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proofErr w:type="gramStart"/>
            <w:r>
              <w:rPr>
                <w:rFonts w:ascii="inherit" w:eastAsia="Times New Roman" w:hAnsi="inherit" w:cs="Times New Roman"/>
                <w:bCs/>
              </w:rPr>
              <w:t>за</w:t>
            </w:r>
            <w:r w:rsidRPr="00BE36C9">
              <w:rPr>
                <w:rFonts w:ascii="inherit" w:eastAsia="Times New Roman" w:hAnsi="inherit" w:cs="Times New Roman"/>
                <w:bCs/>
              </w:rPr>
              <w:t xml:space="preserve">  _</w:t>
            </w:r>
            <w:proofErr w:type="gramEnd"/>
            <w:r w:rsidRPr="00BE36C9">
              <w:rPr>
                <w:rFonts w:ascii="inherit" w:eastAsia="Times New Roman" w:hAnsi="inherit" w:cs="Times New Roman"/>
                <w:bCs/>
              </w:rPr>
              <w:t>_</w:t>
            </w:r>
            <w:r w:rsidRPr="00BE36C9">
              <w:rPr>
                <w:rFonts w:ascii="inherit" w:eastAsia="Times New Roman" w:hAnsi="inherit" w:cs="Times New Roman"/>
                <w:bCs/>
                <w:u w:val="single"/>
              </w:rPr>
              <w:t xml:space="preserve"> </w:t>
            </w:r>
            <w:r w:rsidR="00925F31">
              <w:rPr>
                <w:rFonts w:ascii="inherit" w:eastAsia="Times New Roman" w:hAnsi="inherit" w:cs="Times New Roman"/>
                <w:bCs/>
                <w:u w:val="single"/>
                <w:lang w:val="en-US"/>
              </w:rPr>
              <w:t>I</w:t>
            </w:r>
            <w:r w:rsidR="004B11B3" w:rsidRPr="00BE36C9">
              <w:rPr>
                <w:rFonts w:ascii="inherit" w:eastAsia="Times New Roman" w:hAnsi="inherit" w:cs="Times New Roman"/>
                <w:bCs/>
                <w:u w:val="single"/>
              </w:rPr>
              <w:t xml:space="preserve"> </w:t>
            </w:r>
            <w:r w:rsidR="00F133BA">
              <w:rPr>
                <w:rFonts w:ascii="inherit" w:eastAsia="Times New Roman" w:hAnsi="inherit" w:cs="Times New Roman"/>
                <w:bCs/>
                <w:u w:val="single"/>
                <w:lang w:val="en-US"/>
              </w:rPr>
              <w:t>V</w:t>
            </w:r>
            <w:r w:rsidR="007957DA" w:rsidRPr="00BE36C9">
              <w:rPr>
                <w:rFonts w:ascii="inherit" w:eastAsia="Times New Roman" w:hAnsi="inherit" w:cs="Times New Roman"/>
                <w:bCs/>
                <w:u w:val="single"/>
              </w:rPr>
              <w:t xml:space="preserve"> </w:t>
            </w:r>
            <w:r w:rsidRPr="00BE36C9">
              <w:rPr>
                <w:rFonts w:ascii="inherit" w:eastAsia="Times New Roman" w:hAnsi="inherit" w:cs="Times New Roman"/>
                <w:bCs/>
                <w:u w:val="single"/>
              </w:rPr>
              <w:t>__</w:t>
            </w:r>
            <w:r w:rsidR="0058525A" w:rsidRPr="00BE36C9">
              <w:rPr>
                <w:rFonts w:ascii="inherit" w:eastAsia="Times New Roman" w:hAnsi="inherit" w:cs="Times New Roman"/>
                <w:bCs/>
              </w:rPr>
              <w:t xml:space="preserve"> 20</w:t>
            </w:r>
            <w:r w:rsidR="00925F31" w:rsidRPr="00BE36C9">
              <w:rPr>
                <w:rFonts w:ascii="inherit" w:eastAsia="Times New Roman" w:hAnsi="inherit" w:cs="Times New Roman"/>
                <w:bCs/>
              </w:rPr>
              <w:t>20</w:t>
            </w:r>
            <w:r w:rsidRPr="00BE36C9">
              <w:rPr>
                <w:rFonts w:ascii="inherit" w:eastAsia="Times New Roman" w:hAnsi="inherit" w:cs="Times New Roman"/>
                <w:bCs/>
              </w:rPr>
              <w:t xml:space="preserve"> </w:t>
            </w:r>
            <w:r w:rsidR="0058525A" w:rsidRPr="008931B4">
              <w:rPr>
                <w:rFonts w:ascii="inherit" w:eastAsia="Times New Roman" w:hAnsi="inherit" w:cs="Times New Roman"/>
                <w:bCs/>
              </w:rPr>
              <w:t>г</w:t>
            </w:r>
            <w:r w:rsidR="0058525A" w:rsidRPr="00BE36C9">
              <w:rPr>
                <w:rFonts w:ascii="inherit" w:eastAsia="Times New Roman" w:hAnsi="inherit" w:cs="Times New Roman"/>
                <w:bCs/>
              </w:rPr>
              <w:t>.</w:t>
            </w:r>
          </w:p>
          <w:p w:rsidR="0058525A" w:rsidRPr="00BE36C9" w:rsidRDefault="00CF3883" w:rsidP="00CF3883">
            <w:pPr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BE36C9">
              <w:rPr>
                <w:rFonts w:ascii="inherit" w:eastAsia="Times New Roman" w:hAnsi="inherit" w:cs="Times New Roman"/>
                <w:bCs/>
              </w:rPr>
              <w:t xml:space="preserve">                                                                </w:t>
            </w:r>
            <w:r w:rsidR="0058525A" w:rsidRPr="00BE36C9">
              <w:rPr>
                <w:rFonts w:ascii="inherit" w:eastAsia="Times New Roman" w:hAnsi="inherit" w:cs="Times New Roman"/>
                <w:bCs/>
              </w:rPr>
              <w:t>(</w:t>
            </w:r>
            <w:r w:rsidR="0058525A" w:rsidRPr="008931B4">
              <w:rPr>
                <w:rFonts w:ascii="inherit" w:eastAsia="Times New Roman" w:hAnsi="inherit" w:cs="Times New Roman"/>
                <w:bCs/>
              </w:rPr>
              <w:t>квартал</w:t>
            </w:r>
            <w:r w:rsidR="0058525A" w:rsidRPr="00BE36C9">
              <w:rPr>
                <w:rFonts w:ascii="inherit" w:eastAsia="Times New Roman" w:hAnsi="inherit" w:cs="Times New Roman"/>
                <w:bCs/>
              </w:rPr>
              <w:t>)</w:t>
            </w:r>
          </w:p>
        </w:tc>
        <w:bookmarkStart w:id="0" w:name="_GoBack"/>
        <w:bookmarkEnd w:id="0"/>
      </w:tr>
    </w:tbl>
    <w:p w:rsidR="0058525A" w:rsidRPr="0058525A" w:rsidRDefault="0058525A" w:rsidP="0058525A">
      <w:pPr>
        <w:rPr>
          <w:rFonts w:eastAsia="Times New Roman" w:cs="Times New Roman"/>
          <w:vanish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2102"/>
        <w:gridCol w:w="26"/>
        <w:gridCol w:w="1616"/>
      </w:tblGrid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Предоставляют: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Сроки предоставления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Форма N 1-ГМУ</w:t>
            </w:r>
          </w:p>
        </w:tc>
      </w:tr>
      <w:tr w:rsidR="0058525A" w:rsidRPr="008931B4" w:rsidTr="0058525A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юридические лица - федеральные органы исполнительной власти и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Государственная корпорация по атомной энергии "</w:t>
            </w:r>
            <w:proofErr w:type="spellStart"/>
            <w:r w:rsidRPr="008931B4">
              <w:rPr>
                <w:rFonts w:eastAsia="Times New Roman" w:cs="Times New Roman"/>
              </w:rPr>
              <w:t>Росатом</w:t>
            </w:r>
            <w:proofErr w:type="spellEnd"/>
            <w:r w:rsidRPr="008931B4">
              <w:rPr>
                <w:rFonts w:eastAsia="Times New Roman" w:cs="Times New Roman"/>
              </w:rPr>
              <w:t>", Государственная корпорация по космической деятельности "</w:t>
            </w:r>
            <w:proofErr w:type="spellStart"/>
            <w:r w:rsidRPr="008931B4">
              <w:rPr>
                <w:rFonts w:eastAsia="Times New Roman" w:cs="Times New Roman"/>
              </w:rPr>
              <w:t>Роскосмос</w:t>
            </w:r>
            <w:proofErr w:type="spellEnd"/>
            <w:r w:rsidRPr="008931B4">
              <w:rPr>
                <w:rFonts w:eastAsia="Times New Roman" w:cs="Times New Roman"/>
              </w:rPr>
              <w:t>", осуществляющие соответственно предоставление государственных (муниципальных) услуг; государственные (муниципальные) учреждения и другие организации, в которых размещается государственное (муниципальное) задание (заказ), чьи услуги подлежат включению в реестр государственных и муниципальных услуг: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не позднее 45 календарного дня после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Приказ Росстата:</w:t>
            </w:r>
          </w:p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Об утверждении формы</w:t>
            </w:r>
          </w:p>
          <w:p w:rsidR="00E226A2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 xml:space="preserve">от 17.12.2018 </w:t>
            </w:r>
          </w:p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N 744</w:t>
            </w:r>
          </w:p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О внесении изменений (при наличии)</w:t>
            </w:r>
          </w:p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от _____ N ___</w:t>
            </w:r>
          </w:p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от _____ N ___</w:t>
            </w:r>
          </w:p>
        </w:tc>
      </w:tr>
      <w:tr w:rsidR="0058525A" w:rsidRPr="008931B4" w:rsidTr="005852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ascii="inherit" w:eastAsia="Times New Roman" w:hAnsi="inherit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Квартальная</w:t>
            </w:r>
          </w:p>
        </w:tc>
      </w:tr>
      <w:tr w:rsidR="0058525A" w:rsidRPr="008931B4" w:rsidTr="0058525A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ascii="inherit" w:eastAsia="Times New Roman" w:hAnsi="inherit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</w:tr>
      <w:tr w:rsidR="0058525A" w:rsidRPr="008931B4" w:rsidTr="005852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both"/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- Минэкономразвития России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58525A" w:rsidRPr="008931B4" w:rsidRDefault="0058525A" w:rsidP="0058525A">
            <w:pPr>
              <w:rPr>
                <w:rFonts w:ascii="inherit" w:eastAsia="Times New Roman" w:hAnsi="inherit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</w:tr>
    </w:tbl>
    <w:p w:rsidR="0058525A" w:rsidRPr="008931B4" w:rsidRDefault="0058525A" w:rsidP="0058525A">
      <w:pPr>
        <w:rPr>
          <w:rFonts w:eastAsia="Times New Roman" w:cs="Times New Roman"/>
          <w:vanish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5670"/>
        <w:gridCol w:w="189"/>
        <w:gridCol w:w="189"/>
      </w:tblGrid>
      <w:tr w:rsidR="0058525A" w:rsidRPr="008931B4" w:rsidTr="0058525A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Наименование отчитывающейся организации ___________________________________</w:t>
            </w:r>
          </w:p>
        </w:tc>
      </w:tr>
      <w:tr w:rsidR="0058525A" w:rsidRPr="008931B4" w:rsidTr="0058525A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Почтовый адрес ___________________________________________________________</w:t>
            </w:r>
          </w:p>
        </w:tc>
      </w:tr>
      <w:tr w:rsidR="0058525A" w:rsidRPr="008931B4" w:rsidTr="0058525A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Код формы по ОКУД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Код</w:t>
            </w:r>
          </w:p>
        </w:tc>
      </w:tr>
      <w:tr w:rsidR="0058525A" w:rsidRPr="008931B4" w:rsidTr="005852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8525A" w:rsidRPr="008931B4" w:rsidRDefault="0058525A" w:rsidP="0058525A">
            <w:pPr>
              <w:rPr>
                <w:rFonts w:ascii="inherit" w:eastAsia="Times New Roman" w:hAnsi="inherit" w:cs="Times New Roman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отчитывающейся организации по ОКПО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4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>
              <w:rPr>
                <w:rFonts w:ascii="inherit" w:eastAsia="Times New Roman" w:hAnsi="inherit" w:cs="Times New Roman"/>
                <w:bCs/>
              </w:rPr>
              <w:t>0609203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04202155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rPr>
                <w:rFonts w:eastAsia="Times New Roman" w:cs="Times New Roman"/>
              </w:rPr>
            </w:pPr>
          </w:p>
        </w:tc>
      </w:tr>
    </w:tbl>
    <w:p w:rsidR="0058525A" w:rsidRPr="008931B4" w:rsidRDefault="0058525A" w:rsidP="0058525A">
      <w:pPr>
        <w:rPr>
          <w:rFonts w:eastAsia="Times New Roman" w:cs="Times New Roman"/>
          <w:vanish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753"/>
        <w:gridCol w:w="1279"/>
      </w:tblGrid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N строки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За отчетный период - всего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3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непосредственно в орган, предоставляющий государственную (муниципальную) услугу, или подведомственную организацию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BE36C9" w:rsidP="0092526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через МФЦ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через Единый портал государственных и муниципальных услуг (функций)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через Региональный портал государственных и муниципальных услуг (функций)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через официальный сайт органа, предоставляющего государственную (муниципальную) услугу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иным способом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физических лиц иным способом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предпринимателей непосредственно в орган, предоставляющий государственную (муниципальную) услугу, или подведомственную организацию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предпринимателей через МФЦ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предпринимателей через Единый портал государственных и муниципальных услуг (функций)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предпринимателей через Региональный портал государственных и муниципальных услуг (функций)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 xml:space="preserve"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</w:t>
            </w:r>
            <w:r w:rsidRPr="008931B4">
              <w:rPr>
                <w:rFonts w:eastAsia="Times New Roman" w:cs="Times New Roman"/>
              </w:rPr>
              <w:lastRenderedPageBreak/>
              <w:t>предпринимателей через официальный сайт органа, предоставляющего государственную (муниципальную) услугу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lastRenderedPageBreak/>
              <w:t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предпринимателей иным способом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Количество заявлений (запросов) о предоставлении государственной (муниципальной) услуги, поступивших от заявителей - юридических лиц и (или) индивидуальных предпринимателей иным способом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(муниципальной) услуги, в отношении заявителей - физических лиц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BE36C9" w:rsidP="0092526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(муниципальной) услуги, в отношении заявителей - юридических лиц и (или) индивидуальных предпринимателей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Общее количество принятых в результате рассмотрения заявлений о предоставлении государственной (муниципальной) услуги решений о приостановлении предоставления государственной (муниципальной) услуги, в отношении заявителей - физических лиц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Общее количество принятых в результате рассмотрения заявлений о предоставлении государственной (муниципальной) услуги решений о приостановлении предоставления государственной (муниципальной) услуги, в отношении заявителей - юридических лиц и (или) индивидуальных предпринимателей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</w:rPr>
            </w:pPr>
            <w:r w:rsidRPr="008931B4">
              <w:rPr>
                <w:rFonts w:eastAsia="Times New Roman" w:cs="Times New Roman"/>
              </w:rPr>
              <w:t>Общее количество отказов (отрицательных решений), принятых по результатам рассмотрения заявлений о предоставлении государственной (муниципальной) услуги, в отношении заявителей - физических лиц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</w:rPr>
            </w:pPr>
            <w:r w:rsidRPr="008931B4">
              <w:rPr>
                <w:rFonts w:ascii="inherit" w:eastAsia="Times New Roman" w:hAnsi="inherit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58525A" w:rsidRPr="008931B4" w:rsidTr="0058525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8525A" w:rsidRPr="008931B4" w:rsidRDefault="0058525A" w:rsidP="0058525A">
            <w:pPr>
              <w:textAlignment w:val="baseline"/>
              <w:rPr>
                <w:rFonts w:eastAsia="Times New Roman" w:cs="Times New Roman"/>
                <w:color w:val="222222"/>
              </w:rPr>
            </w:pPr>
            <w:r w:rsidRPr="008931B4">
              <w:rPr>
                <w:rFonts w:eastAsia="Times New Roman" w:cs="Times New Roman"/>
                <w:color w:val="222222"/>
              </w:rPr>
              <w:t>Общее количество отказов (отрицательных решений), принятых по результатам рассмотрения заявлений о предоставлении государственной (муниципальной) услуги, в отношении заявителей - юридических лиц и (или) индивидуальных предпринимателей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8525A" w:rsidRPr="008931B4" w:rsidRDefault="0058525A" w:rsidP="0058525A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color w:val="222222"/>
              </w:rPr>
            </w:pPr>
            <w:r w:rsidRPr="008931B4">
              <w:rPr>
                <w:rFonts w:ascii="inherit" w:eastAsia="Times New Roman" w:hAnsi="inherit" w:cs="Arial"/>
                <w:bCs/>
                <w:color w:val="222222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8525A" w:rsidRPr="008931B4" w:rsidRDefault="00CF3883" w:rsidP="00CF388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0</w:t>
            </w:r>
          </w:p>
        </w:tc>
      </w:tr>
    </w:tbl>
    <w:p w:rsidR="006A6628" w:rsidRPr="008931B4" w:rsidRDefault="006A6628"/>
    <w:sectPr w:rsidR="006A6628" w:rsidRPr="008931B4" w:rsidSect="004A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27"/>
    <w:rsid w:val="00023F8F"/>
    <w:rsid w:val="00024B6F"/>
    <w:rsid w:val="00026CB8"/>
    <w:rsid w:val="000547E7"/>
    <w:rsid w:val="000555C2"/>
    <w:rsid w:val="0007383B"/>
    <w:rsid w:val="000B1894"/>
    <w:rsid w:val="000D0339"/>
    <w:rsid w:val="00172568"/>
    <w:rsid w:val="0019151C"/>
    <w:rsid w:val="001C2B91"/>
    <w:rsid w:val="00220546"/>
    <w:rsid w:val="0024094B"/>
    <w:rsid w:val="00253CE0"/>
    <w:rsid w:val="0027315B"/>
    <w:rsid w:val="00347124"/>
    <w:rsid w:val="003612E6"/>
    <w:rsid w:val="00383E0D"/>
    <w:rsid w:val="003C442F"/>
    <w:rsid w:val="00435688"/>
    <w:rsid w:val="004A1804"/>
    <w:rsid w:val="004B11B3"/>
    <w:rsid w:val="004E772C"/>
    <w:rsid w:val="0050252D"/>
    <w:rsid w:val="005057C6"/>
    <w:rsid w:val="005471CC"/>
    <w:rsid w:val="0058525A"/>
    <w:rsid w:val="00662CBF"/>
    <w:rsid w:val="006A54E7"/>
    <w:rsid w:val="006A6628"/>
    <w:rsid w:val="006B4A20"/>
    <w:rsid w:val="006D6933"/>
    <w:rsid w:val="00765CC2"/>
    <w:rsid w:val="007756CA"/>
    <w:rsid w:val="007957DA"/>
    <w:rsid w:val="00797E37"/>
    <w:rsid w:val="00813FD8"/>
    <w:rsid w:val="00815668"/>
    <w:rsid w:val="0082193B"/>
    <w:rsid w:val="00856B50"/>
    <w:rsid w:val="00872A47"/>
    <w:rsid w:val="008931B4"/>
    <w:rsid w:val="008B04A2"/>
    <w:rsid w:val="008C24DB"/>
    <w:rsid w:val="008C7459"/>
    <w:rsid w:val="00925262"/>
    <w:rsid w:val="00925F31"/>
    <w:rsid w:val="00947A1D"/>
    <w:rsid w:val="00982DE9"/>
    <w:rsid w:val="00990BC4"/>
    <w:rsid w:val="00997E32"/>
    <w:rsid w:val="009C34B5"/>
    <w:rsid w:val="00A47A49"/>
    <w:rsid w:val="00A60AA9"/>
    <w:rsid w:val="00A64785"/>
    <w:rsid w:val="00A76D26"/>
    <w:rsid w:val="00A90493"/>
    <w:rsid w:val="00A96CED"/>
    <w:rsid w:val="00B05F3E"/>
    <w:rsid w:val="00B31AD1"/>
    <w:rsid w:val="00B43962"/>
    <w:rsid w:val="00B656E0"/>
    <w:rsid w:val="00B70F37"/>
    <w:rsid w:val="00B72534"/>
    <w:rsid w:val="00B92303"/>
    <w:rsid w:val="00B96BFD"/>
    <w:rsid w:val="00BA7EF2"/>
    <w:rsid w:val="00BB2211"/>
    <w:rsid w:val="00BB5602"/>
    <w:rsid w:val="00BB726A"/>
    <w:rsid w:val="00BC5C62"/>
    <w:rsid w:val="00BD559E"/>
    <w:rsid w:val="00BE36C9"/>
    <w:rsid w:val="00C60480"/>
    <w:rsid w:val="00C71627"/>
    <w:rsid w:val="00CA2973"/>
    <w:rsid w:val="00CF3883"/>
    <w:rsid w:val="00CF461F"/>
    <w:rsid w:val="00D1103F"/>
    <w:rsid w:val="00DE05CB"/>
    <w:rsid w:val="00E226A2"/>
    <w:rsid w:val="00E32CB9"/>
    <w:rsid w:val="00E66B45"/>
    <w:rsid w:val="00ED0EA3"/>
    <w:rsid w:val="00F133BA"/>
    <w:rsid w:val="00F41551"/>
    <w:rsid w:val="00F81BEB"/>
    <w:rsid w:val="00F95F89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15AE"/>
  <w15:docId w15:val="{29B2EA10-8C52-41EA-AD48-3E7CED4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8931B4"/>
    <w:pPr>
      <w:spacing w:before="100" w:beforeAutospacing="1" w:after="100" w:afterAutospacing="1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Zakon-RF-ot-13.05.1992-N-2761-1/" TargetMode="External"/><Relationship Id="rId4" Type="http://schemas.openxmlformats.org/officeDocument/2006/relationships/hyperlink" Target="http://rulaws.ru/koap/Razdel-II/Glava-13/Statya-13.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адм1</cp:lastModifiedBy>
  <cp:revision>6</cp:revision>
  <cp:lastPrinted>2020-10-08T08:21:00Z</cp:lastPrinted>
  <dcterms:created xsi:type="dcterms:W3CDTF">2021-01-12T07:24:00Z</dcterms:created>
  <dcterms:modified xsi:type="dcterms:W3CDTF">2021-01-13T03:19:00Z</dcterms:modified>
</cp:coreProperties>
</file>